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141B" w14:textId="77777777" w:rsidR="008C2DFA" w:rsidRPr="006D6C70" w:rsidRDefault="008C2DFA" w:rsidP="008C2DFA">
      <w:pPr>
        <w:pBdr>
          <w:top w:val="nil"/>
          <w:left w:val="nil"/>
          <w:bottom w:val="nil"/>
          <w:right w:val="nil"/>
          <w:between w:val="nil"/>
        </w:pBdr>
        <w:spacing w:after="0" w:line="240" w:lineRule="auto"/>
        <w:jc w:val="center"/>
        <w:rPr>
          <w:b/>
          <w:color w:val="000000"/>
          <w:sz w:val="28"/>
          <w:szCs w:val="28"/>
        </w:rPr>
      </w:pPr>
      <w:r w:rsidRPr="006D6C70">
        <w:rPr>
          <w:b/>
          <w:color w:val="000000"/>
          <w:sz w:val="28"/>
          <w:szCs w:val="28"/>
        </w:rPr>
        <w:t>Archives at NCBS</w:t>
      </w:r>
    </w:p>
    <w:p w14:paraId="68B929DF" w14:textId="7F13E895" w:rsidR="008C2DFA" w:rsidRDefault="008C2DFA" w:rsidP="008C2DFA">
      <w:pPr>
        <w:pBdr>
          <w:top w:val="nil"/>
          <w:left w:val="nil"/>
          <w:bottom w:val="nil"/>
          <w:right w:val="nil"/>
          <w:between w:val="nil"/>
        </w:pBdr>
        <w:spacing w:after="0" w:line="240" w:lineRule="auto"/>
        <w:jc w:val="center"/>
        <w:rPr>
          <w:b/>
          <w:color w:val="000000"/>
        </w:rPr>
      </w:pPr>
      <w:r>
        <w:rPr>
          <w:b/>
          <w:color w:val="000000"/>
          <w:sz w:val="28"/>
          <w:szCs w:val="28"/>
        </w:rPr>
        <w:t xml:space="preserve">Notice and takedown policy </w:t>
      </w:r>
    </w:p>
    <w:p w14:paraId="22883697" w14:textId="77777777" w:rsidR="008C2DFA" w:rsidRDefault="008C2DFA" w:rsidP="008C2DFA">
      <w:pPr>
        <w:pBdr>
          <w:top w:val="nil"/>
          <w:left w:val="nil"/>
          <w:bottom w:val="nil"/>
          <w:right w:val="nil"/>
          <w:between w:val="nil"/>
        </w:pBdr>
        <w:spacing w:after="0" w:line="240" w:lineRule="auto"/>
        <w:jc w:val="right"/>
        <w:rPr>
          <w:color w:val="000000"/>
        </w:rPr>
      </w:pPr>
    </w:p>
    <w:p w14:paraId="5EA30BE1" w14:textId="00BD8B6D" w:rsidR="008C2DFA" w:rsidRDefault="00FB6FC0" w:rsidP="008C2DFA">
      <w:pPr>
        <w:pBdr>
          <w:top w:val="nil"/>
          <w:left w:val="nil"/>
          <w:bottom w:val="nil"/>
          <w:right w:val="nil"/>
          <w:between w:val="nil"/>
        </w:pBdr>
        <w:spacing w:after="0" w:line="240" w:lineRule="auto"/>
        <w:jc w:val="right"/>
        <w:rPr>
          <w:color w:val="000000"/>
        </w:rPr>
      </w:pPr>
      <w:r>
        <w:rPr>
          <w:color w:val="000000"/>
        </w:rPr>
        <w:t>V</w:t>
      </w:r>
      <w:r>
        <w:t>2</w:t>
      </w:r>
      <w:r w:rsidR="008C2DFA">
        <w:rPr>
          <w:color w:val="000000"/>
        </w:rPr>
        <w:t xml:space="preserve">. </w:t>
      </w:r>
      <w:r w:rsidR="008C2DFA">
        <w:t xml:space="preserve">January </w:t>
      </w:r>
      <w:r w:rsidR="0097705C">
        <w:t>30</w:t>
      </w:r>
      <w:proofErr w:type="gramStart"/>
      <w:r>
        <w:t xml:space="preserve"> </w:t>
      </w:r>
      <w:r w:rsidR="008C2DFA">
        <w:t>2023</w:t>
      </w:r>
      <w:proofErr w:type="gramEnd"/>
    </w:p>
    <w:p w14:paraId="300BAC74" w14:textId="10366C54" w:rsidR="008C2DFA" w:rsidRDefault="008C2DFA" w:rsidP="008C2DFA">
      <w:pPr>
        <w:pBdr>
          <w:top w:val="nil"/>
          <w:left w:val="nil"/>
          <w:bottom w:val="nil"/>
          <w:right w:val="nil"/>
          <w:between w:val="nil"/>
        </w:pBdr>
        <w:spacing w:after="0" w:line="240" w:lineRule="auto"/>
        <w:jc w:val="right"/>
        <w:rPr>
          <w:color w:val="000000"/>
        </w:rPr>
      </w:pPr>
      <w:r>
        <w:rPr>
          <w:color w:val="000000"/>
        </w:rPr>
        <w:t xml:space="preserve">Hannah James </w:t>
      </w:r>
      <w:proofErr w:type="spellStart"/>
      <w:r>
        <w:rPr>
          <w:color w:val="000000"/>
        </w:rPr>
        <w:t>Louwerse</w:t>
      </w:r>
      <w:proofErr w:type="spellEnd"/>
      <w:r>
        <w:rPr>
          <w:color w:val="000000"/>
        </w:rPr>
        <w:t>, Archives at NCBS</w:t>
      </w:r>
    </w:p>
    <w:p w14:paraId="12E68B8A" w14:textId="3183E960" w:rsidR="008C2DFA" w:rsidRDefault="008C2DFA" w:rsidP="008C2DFA">
      <w:pPr>
        <w:pBdr>
          <w:top w:val="nil"/>
          <w:left w:val="nil"/>
          <w:bottom w:val="nil"/>
          <w:right w:val="nil"/>
          <w:between w:val="nil"/>
        </w:pBdr>
        <w:spacing w:after="0" w:line="240" w:lineRule="auto"/>
        <w:jc w:val="right"/>
        <w:rPr>
          <w:color w:val="000000"/>
        </w:rPr>
      </w:pPr>
    </w:p>
    <w:p w14:paraId="2C9CE337" w14:textId="19C57892" w:rsidR="008C2DFA" w:rsidRDefault="008C2DFA" w:rsidP="008C2DFA">
      <w:pPr>
        <w:pBdr>
          <w:top w:val="nil"/>
          <w:left w:val="nil"/>
          <w:bottom w:val="nil"/>
          <w:right w:val="nil"/>
          <w:between w:val="nil"/>
        </w:pBdr>
        <w:spacing w:after="0" w:line="240" w:lineRule="auto"/>
        <w:rPr>
          <w:color w:val="000000"/>
        </w:rPr>
      </w:pPr>
    </w:p>
    <w:p w14:paraId="542991D2" w14:textId="45F13296" w:rsidR="00655725" w:rsidRDefault="00F20395" w:rsidP="00655725">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Introduction</w:t>
      </w:r>
    </w:p>
    <w:p w14:paraId="5CE063B5" w14:textId="77777777" w:rsidR="001A4257" w:rsidRPr="003742E4" w:rsidRDefault="001A4257" w:rsidP="003742E4">
      <w:pPr>
        <w:pBdr>
          <w:top w:val="nil"/>
          <w:left w:val="nil"/>
          <w:bottom w:val="nil"/>
          <w:right w:val="nil"/>
          <w:between w:val="nil"/>
        </w:pBdr>
        <w:spacing w:after="0" w:line="240" w:lineRule="auto"/>
        <w:rPr>
          <w:color w:val="000000"/>
        </w:rPr>
      </w:pPr>
    </w:p>
    <w:p w14:paraId="5C3B9DFA" w14:textId="2CE268EE" w:rsidR="00F66FAD" w:rsidRDefault="00C53AE1" w:rsidP="00187E1D">
      <w:pPr>
        <w:pBdr>
          <w:top w:val="nil"/>
          <w:left w:val="nil"/>
          <w:bottom w:val="nil"/>
          <w:right w:val="nil"/>
          <w:between w:val="nil"/>
        </w:pBdr>
        <w:spacing w:after="0" w:line="240" w:lineRule="auto"/>
        <w:rPr>
          <w:color w:val="000000"/>
        </w:rPr>
      </w:pPr>
      <w:r>
        <w:rPr>
          <w:color w:val="000000"/>
        </w:rPr>
        <w:t xml:space="preserve">A notice and takedown policy </w:t>
      </w:r>
      <w:proofErr w:type="gramStart"/>
      <w:r>
        <w:rPr>
          <w:color w:val="000000"/>
        </w:rPr>
        <w:t>plays</w:t>
      </w:r>
      <w:proofErr w:type="gramEnd"/>
      <w:r>
        <w:rPr>
          <w:color w:val="000000"/>
        </w:rPr>
        <w:t xml:space="preserve"> an important role in the managing of a digital archive as it allow</w:t>
      </w:r>
      <w:r w:rsidR="002B343D">
        <w:rPr>
          <w:color w:val="000000"/>
        </w:rPr>
        <w:t>s</w:t>
      </w:r>
      <w:r>
        <w:rPr>
          <w:color w:val="000000"/>
        </w:rPr>
        <w:t xml:space="preserve"> people to hold the Archive </w:t>
      </w:r>
      <w:r w:rsidR="002B343D">
        <w:rPr>
          <w:color w:val="000000"/>
        </w:rPr>
        <w:t xml:space="preserve">accountable for any </w:t>
      </w:r>
      <w:r w:rsidR="00BC05C1">
        <w:rPr>
          <w:color w:val="000000"/>
        </w:rPr>
        <w:t xml:space="preserve">online archive material found to violate someone’s rights. This document outlines the process of handling a takedown complaint and contains the basic conditions in which material should be taken down or restricted. Archives at NCBS is committed to making archival material available online and the aim should be </w:t>
      </w:r>
      <w:r w:rsidR="002B343D">
        <w:rPr>
          <w:color w:val="000000"/>
        </w:rPr>
        <w:t>to</w:t>
      </w:r>
      <w:r w:rsidR="00BC05C1">
        <w:rPr>
          <w:color w:val="000000"/>
        </w:rPr>
        <w:t xml:space="preserve"> keep material online </w:t>
      </w:r>
      <w:r w:rsidR="002B343D">
        <w:rPr>
          <w:color w:val="000000"/>
        </w:rPr>
        <w:t>where</w:t>
      </w:r>
      <w:r w:rsidR="00BC05C1">
        <w:rPr>
          <w:color w:val="000000"/>
        </w:rPr>
        <w:t xml:space="preserve"> possible, but this cannot come at the expense of another’s rights. It is important to be reminded this is simply a guide to approaching notice and takedown complaints. </w:t>
      </w:r>
      <w:r w:rsidR="002B343D">
        <w:rPr>
          <w:color w:val="000000"/>
        </w:rPr>
        <w:t>The use of notice and takedown has evolved over the years</w:t>
      </w:r>
      <w:r w:rsidR="004B24BE">
        <w:rPr>
          <w:color w:val="000000"/>
        </w:rPr>
        <w:t xml:space="preserve"> and will continue to evolve, so</w:t>
      </w:r>
      <w:r w:rsidR="002B343D">
        <w:rPr>
          <w:color w:val="000000"/>
        </w:rPr>
        <w:t xml:space="preserve"> it is advised to handle complaints </w:t>
      </w:r>
      <w:r w:rsidR="00BC05C1">
        <w:rPr>
          <w:color w:val="000000"/>
        </w:rPr>
        <w:t>on case-by-case basis.</w:t>
      </w:r>
    </w:p>
    <w:p w14:paraId="2FA35BEE" w14:textId="77777777" w:rsidR="00351C58" w:rsidRPr="00E94C68" w:rsidRDefault="00351C58" w:rsidP="00E94C68">
      <w:pPr>
        <w:pBdr>
          <w:top w:val="nil"/>
          <w:left w:val="nil"/>
          <w:bottom w:val="nil"/>
          <w:right w:val="nil"/>
          <w:between w:val="nil"/>
        </w:pBdr>
        <w:spacing w:after="0" w:line="240" w:lineRule="auto"/>
        <w:rPr>
          <w:b/>
          <w:bCs/>
          <w:color w:val="000000"/>
        </w:rPr>
      </w:pPr>
    </w:p>
    <w:p w14:paraId="3677A767" w14:textId="643AB8D5" w:rsidR="00C53AE1" w:rsidRDefault="00C53AE1" w:rsidP="00655725">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 xml:space="preserve">History of notice and takedown </w:t>
      </w:r>
    </w:p>
    <w:p w14:paraId="3BD1BB91" w14:textId="5F8D81AC" w:rsidR="00C53AE1" w:rsidRDefault="00C53AE1" w:rsidP="00C53AE1">
      <w:pPr>
        <w:pBdr>
          <w:top w:val="nil"/>
          <w:left w:val="nil"/>
          <w:bottom w:val="nil"/>
          <w:right w:val="nil"/>
          <w:between w:val="nil"/>
        </w:pBdr>
        <w:spacing w:after="0" w:line="240" w:lineRule="auto"/>
        <w:rPr>
          <w:b/>
          <w:bCs/>
          <w:color w:val="000000"/>
        </w:rPr>
      </w:pPr>
    </w:p>
    <w:p w14:paraId="4F6699A1" w14:textId="2DF09896" w:rsidR="00843EB2" w:rsidRPr="002B343D" w:rsidRDefault="00D24225" w:rsidP="00A85BD2">
      <w:pPr>
        <w:pBdr>
          <w:top w:val="nil"/>
          <w:left w:val="nil"/>
          <w:bottom w:val="nil"/>
          <w:right w:val="nil"/>
          <w:between w:val="nil"/>
        </w:pBdr>
        <w:spacing w:after="0" w:line="240" w:lineRule="auto"/>
        <w:rPr>
          <w:color w:val="000000"/>
        </w:rPr>
      </w:pPr>
      <w:r>
        <w:rPr>
          <w:color w:val="000000"/>
        </w:rPr>
        <w:t xml:space="preserve">Although starting off as </w:t>
      </w:r>
      <w:r w:rsidR="002B343D">
        <w:rPr>
          <w:color w:val="000000"/>
        </w:rPr>
        <w:t xml:space="preserve">a route </w:t>
      </w:r>
      <w:r>
        <w:rPr>
          <w:color w:val="000000"/>
        </w:rPr>
        <w:t>to regulate copyright violation</w:t>
      </w:r>
      <w:r w:rsidR="004B24BE">
        <w:rPr>
          <w:color w:val="000000"/>
        </w:rPr>
        <w:t xml:space="preserve"> online</w:t>
      </w:r>
      <w:r>
        <w:rPr>
          <w:color w:val="000000"/>
        </w:rPr>
        <w:t>, “n</w:t>
      </w:r>
      <w:r w:rsidR="00BC05C1">
        <w:rPr>
          <w:color w:val="000000"/>
        </w:rPr>
        <w:t>otice and takedown</w:t>
      </w:r>
      <w:r>
        <w:rPr>
          <w:color w:val="000000"/>
        </w:rPr>
        <w:t>”</w:t>
      </w:r>
      <w:r w:rsidR="00BC05C1">
        <w:rPr>
          <w:color w:val="000000"/>
        </w:rPr>
        <w:t xml:space="preserve"> </w:t>
      </w:r>
      <w:r>
        <w:rPr>
          <w:color w:val="000000"/>
        </w:rPr>
        <w:t xml:space="preserve">processes have become necessary in a variety of circumstances. They </w:t>
      </w:r>
      <w:r w:rsidR="00B3573F">
        <w:rPr>
          <w:color w:val="000000"/>
        </w:rPr>
        <w:t>began</w:t>
      </w:r>
      <w:r>
        <w:rPr>
          <w:color w:val="000000"/>
        </w:rPr>
        <w:t xml:space="preserve"> as part of the Digital Millennial Copyright Act (DMCA) of 1998, to help remove content online deem</w:t>
      </w:r>
      <w:r w:rsidR="00B3573F">
        <w:rPr>
          <w:color w:val="000000"/>
        </w:rPr>
        <w:t xml:space="preserve">ed illegal due to copyright violations. </w:t>
      </w:r>
      <w:r w:rsidR="00DC4617">
        <w:rPr>
          <w:color w:val="000000"/>
        </w:rPr>
        <w:t>However, DMCA and notice and takedown then started to be</w:t>
      </w:r>
      <w:r w:rsidR="002B343D">
        <w:rPr>
          <w:color w:val="000000"/>
        </w:rPr>
        <w:t>,</w:t>
      </w:r>
      <w:r w:rsidR="00DC4617">
        <w:rPr>
          <w:color w:val="000000"/>
        </w:rPr>
        <w:t xml:space="preserve"> </w:t>
      </w:r>
      <w:r w:rsidR="002B343D">
        <w:rPr>
          <w:color w:val="000000"/>
        </w:rPr>
        <w:t>arguabl</w:t>
      </w:r>
      <w:r w:rsidR="004B24BE">
        <w:rPr>
          <w:color w:val="000000"/>
        </w:rPr>
        <w:t>y</w:t>
      </w:r>
      <w:r w:rsidR="002B343D">
        <w:rPr>
          <w:color w:val="000000"/>
        </w:rPr>
        <w:t xml:space="preserve">, </w:t>
      </w:r>
      <w:r w:rsidR="00DC4617">
        <w:rPr>
          <w:color w:val="000000"/>
        </w:rPr>
        <w:t>incorrectly used to censor information through copyright complaints</w:t>
      </w:r>
      <w:r w:rsidR="007D6F14">
        <w:rPr>
          <w:color w:val="000000"/>
        </w:rPr>
        <w:t xml:space="preserve"> </w:t>
      </w:r>
      <w:r w:rsidR="007D6F14" w:rsidRPr="00DC4617">
        <w:rPr>
          <w:color w:val="000000"/>
        </w:rPr>
        <w:t>(</w:t>
      </w:r>
      <w:r w:rsidR="007D6F14" w:rsidRPr="00DC4617">
        <w:rPr>
          <w:rFonts w:eastAsiaTheme="minorHAnsi"/>
          <w:lang w:eastAsia="en-US"/>
        </w:rPr>
        <w:t>Cobia, 2008)</w:t>
      </w:r>
      <w:r w:rsidR="007D6F14" w:rsidRPr="00DC4617">
        <w:rPr>
          <w:color w:val="000000"/>
        </w:rPr>
        <w:t>.</w:t>
      </w:r>
      <w:r w:rsidR="00B3573F">
        <w:rPr>
          <w:color w:val="000000"/>
        </w:rPr>
        <w:t xml:space="preserve"> Notice and takedown processes were then used to remove personal data online</w:t>
      </w:r>
      <w:r w:rsidR="00297E2D">
        <w:rPr>
          <w:color w:val="000000"/>
        </w:rPr>
        <w:t xml:space="preserve"> as the </w:t>
      </w:r>
      <w:r w:rsidR="004B24BE">
        <w:rPr>
          <w:color w:val="000000"/>
        </w:rPr>
        <w:t>“</w:t>
      </w:r>
      <w:r w:rsidR="00297E2D">
        <w:rPr>
          <w:color w:val="000000"/>
        </w:rPr>
        <w:t>Right to Be Forgotten</w:t>
      </w:r>
      <w:r w:rsidR="004B24BE">
        <w:rPr>
          <w:color w:val="000000"/>
        </w:rPr>
        <w:t>”</w:t>
      </w:r>
      <w:r w:rsidR="00297E2D">
        <w:rPr>
          <w:color w:val="000000"/>
        </w:rPr>
        <w:t xml:space="preserve"> became increasingly used </w:t>
      </w:r>
      <w:r w:rsidR="002B343D">
        <w:rPr>
          <w:color w:val="000000"/>
        </w:rPr>
        <w:t xml:space="preserve">in legal cases </w:t>
      </w:r>
      <w:r w:rsidR="00297E2D">
        <w:rPr>
          <w:color w:val="000000"/>
        </w:rPr>
        <w:t xml:space="preserve">to remove information from the internet (Dressler &amp; Kristof, 2018). </w:t>
      </w:r>
      <w:proofErr w:type="gramStart"/>
      <w:r w:rsidR="00297E2D">
        <w:rPr>
          <w:color w:val="000000"/>
        </w:rPr>
        <w:t>The majority of</w:t>
      </w:r>
      <w:proofErr w:type="gramEnd"/>
      <w:r w:rsidR="00297E2D">
        <w:rPr>
          <w:color w:val="000000"/>
        </w:rPr>
        <w:t xml:space="preserve"> literature on notice and takedown discusses the removal of information in </w:t>
      </w:r>
      <w:r w:rsidR="002B343D">
        <w:rPr>
          <w:color w:val="000000"/>
        </w:rPr>
        <w:t xml:space="preserve">online </w:t>
      </w:r>
      <w:r w:rsidR="00297E2D">
        <w:rPr>
          <w:color w:val="000000"/>
        </w:rPr>
        <w:t xml:space="preserve">news articles or content from various platforms like YouTube. </w:t>
      </w:r>
      <w:r w:rsidR="002B343D">
        <w:rPr>
          <w:color w:val="000000"/>
        </w:rPr>
        <w:t>The situation</w:t>
      </w:r>
      <w:r w:rsidR="00297E2D">
        <w:rPr>
          <w:color w:val="000000"/>
        </w:rPr>
        <w:t xml:space="preserve"> become</w:t>
      </w:r>
      <w:r w:rsidR="002B343D">
        <w:rPr>
          <w:color w:val="000000"/>
        </w:rPr>
        <w:t>s</w:t>
      </w:r>
      <w:r w:rsidR="00297E2D">
        <w:rPr>
          <w:color w:val="000000"/>
        </w:rPr>
        <w:t xml:space="preserve"> more complicated in the context of online </w:t>
      </w:r>
      <w:r w:rsidR="00D527D7">
        <w:rPr>
          <w:color w:val="000000"/>
        </w:rPr>
        <w:t>archives because</w:t>
      </w:r>
      <w:r w:rsidR="00297E2D">
        <w:rPr>
          <w:color w:val="000000"/>
        </w:rPr>
        <w:t xml:space="preserve"> the main service of archives is to make information publicly available, preferably as objective as possible. The approaches to notice and takedown </w:t>
      </w:r>
      <w:proofErr w:type="gramStart"/>
      <w:r w:rsidR="00297E2D">
        <w:rPr>
          <w:color w:val="000000"/>
        </w:rPr>
        <w:t>is</w:t>
      </w:r>
      <w:proofErr w:type="gramEnd"/>
      <w:r w:rsidR="00297E2D">
        <w:rPr>
          <w:color w:val="000000"/>
        </w:rPr>
        <w:t xml:space="preserve"> therefore not consistent across archives with many approaching complaints on a case-by-case basis</w:t>
      </w:r>
      <w:r w:rsidR="004B24BE">
        <w:rPr>
          <w:color w:val="000000"/>
        </w:rPr>
        <w:t xml:space="preserve"> </w:t>
      </w:r>
      <w:r w:rsidR="004B24BE">
        <w:rPr>
          <w:color w:val="000000"/>
        </w:rPr>
        <w:t>(Dressler &amp; Kristof, 2018)</w:t>
      </w:r>
      <w:r w:rsidR="00297E2D">
        <w:rPr>
          <w:color w:val="000000"/>
        </w:rPr>
        <w:t xml:space="preserve">. In addition to complaints about copyright, personal data, or defamation many archives </w:t>
      </w:r>
      <w:r w:rsidR="004B24BE">
        <w:rPr>
          <w:color w:val="000000"/>
        </w:rPr>
        <w:t xml:space="preserve">are </w:t>
      </w:r>
      <w:r w:rsidR="00297E2D">
        <w:rPr>
          <w:color w:val="000000"/>
        </w:rPr>
        <w:t xml:space="preserve">also </w:t>
      </w:r>
      <w:r w:rsidR="004B24BE">
        <w:rPr>
          <w:color w:val="000000"/>
        </w:rPr>
        <w:t>increasingly having to</w:t>
      </w:r>
      <w:r w:rsidR="00297E2D">
        <w:rPr>
          <w:color w:val="000000"/>
        </w:rPr>
        <w:t xml:space="preserve"> handle issues </w:t>
      </w:r>
      <w:r w:rsidR="00D527D7">
        <w:rPr>
          <w:color w:val="000000"/>
        </w:rPr>
        <w:t xml:space="preserve">around contextualising </w:t>
      </w:r>
      <w:r>
        <w:rPr>
          <w:color w:val="000000"/>
        </w:rPr>
        <w:t>culturally</w:t>
      </w:r>
      <w:r w:rsidR="0066450E">
        <w:rPr>
          <w:color w:val="000000"/>
        </w:rPr>
        <w:t xml:space="preserve"> sensitive </w:t>
      </w:r>
      <w:r w:rsidR="00D527D7">
        <w:rPr>
          <w:color w:val="000000"/>
        </w:rPr>
        <w:t xml:space="preserve">material, which some people </w:t>
      </w:r>
      <w:r w:rsidR="002B343D">
        <w:rPr>
          <w:color w:val="000000"/>
        </w:rPr>
        <w:t>may</w:t>
      </w:r>
      <w:r w:rsidR="00D527D7">
        <w:rPr>
          <w:color w:val="000000"/>
        </w:rPr>
        <w:t xml:space="preserve"> object to having available on the internet. </w:t>
      </w:r>
    </w:p>
    <w:p w14:paraId="50E350EC" w14:textId="77777777" w:rsidR="00843EB2" w:rsidRDefault="00843EB2" w:rsidP="00A85BD2">
      <w:pPr>
        <w:pBdr>
          <w:top w:val="nil"/>
          <w:left w:val="nil"/>
          <w:bottom w:val="nil"/>
          <w:right w:val="nil"/>
          <w:between w:val="nil"/>
        </w:pBdr>
        <w:spacing w:after="0" w:line="240" w:lineRule="auto"/>
        <w:rPr>
          <w:b/>
          <w:bCs/>
          <w:color w:val="000000"/>
        </w:rPr>
      </w:pPr>
    </w:p>
    <w:p w14:paraId="0BF09543" w14:textId="1EE1CD2D" w:rsidR="003C19B7" w:rsidRDefault="00C53AE1" w:rsidP="003C19B7">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Complaints</w:t>
      </w:r>
    </w:p>
    <w:p w14:paraId="32FB5DE8" w14:textId="77777777" w:rsidR="003C19B7" w:rsidRPr="00A85BD2" w:rsidRDefault="003C19B7" w:rsidP="00A85BD2">
      <w:pPr>
        <w:pBdr>
          <w:top w:val="nil"/>
          <w:left w:val="nil"/>
          <w:bottom w:val="nil"/>
          <w:right w:val="nil"/>
          <w:between w:val="nil"/>
        </w:pBdr>
        <w:spacing w:after="0" w:line="240" w:lineRule="auto"/>
        <w:rPr>
          <w:b/>
          <w:bCs/>
          <w:color w:val="000000"/>
        </w:rPr>
      </w:pPr>
    </w:p>
    <w:p w14:paraId="1887EAC9" w14:textId="39E80108" w:rsidR="003C19B7" w:rsidRDefault="00351C58" w:rsidP="003C19B7">
      <w:pPr>
        <w:pBdr>
          <w:top w:val="nil"/>
          <w:left w:val="nil"/>
          <w:bottom w:val="nil"/>
          <w:right w:val="nil"/>
          <w:between w:val="nil"/>
        </w:pBdr>
        <w:spacing w:after="0" w:line="240" w:lineRule="auto"/>
        <w:rPr>
          <w:color w:val="000000"/>
        </w:rPr>
      </w:pPr>
      <w:r>
        <w:rPr>
          <w:color w:val="000000"/>
        </w:rPr>
        <w:t xml:space="preserve">When someone finds material on the Archive website which they feel violates their rights they can send a letter/email of complaint to the Archive. </w:t>
      </w:r>
      <w:r w:rsidR="002B343D">
        <w:rPr>
          <w:color w:val="000000"/>
        </w:rPr>
        <w:t>T</w:t>
      </w:r>
      <w:r>
        <w:rPr>
          <w:color w:val="000000"/>
        </w:rPr>
        <w:t>hey must</w:t>
      </w:r>
      <w:r w:rsidR="003C19B7">
        <w:rPr>
          <w:color w:val="000000"/>
        </w:rPr>
        <w:t xml:space="preserve"> </w:t>
      </w:r>
      <w:r w:rsidR="004B24BE">
        <w:rPr>
          <w:color w:val="000000"/>
        </w:rPr>
        <w:t xml:space="preserve">include </w:t>
      </w:r>
      <w:r w:rsidR="00D527D7">
        <w:rPr>
          <w:color w:val="000000"/>
        </w:rPr>
        <w:t xml:space="preserve">their contact details, information about the material in question, and the reason of their complaint. The reason for their complaint may include but is not limited to copyright violation, defamation, obscenity, culturally sensitive content, and personal data. It also might be the case the complainant </w:t>
      </w:r>
      <w:r w:rsidR="0045205D">
        <w:rPr>
          <w:color w:val="000000"/>
        </w:rPr>
        <w:t>made a complaint about</w:t>
      </w:r>
      <w:r w:rsidR="00D527D7">
        <w:rPr>
          <w:color w:val="000000"/>
        </w:rPr>
        <w:t xml:space="preserve"> material </w:t>
      </w:r>
      <w:r w:rsidR="0045205D">
        <w:rPr>
          <w:color w:val="000000"/>
        </w:rPr>
        <w:t xml:space="preserve">that was put online in error </w:t>
      </w:r>
      <w:r w:rsidR="0097478C">
        <w:rPr>
          <w:color w:val="000000"/>
        </w:rPr>
        <w:t>(see section 4)</w:t>
      </w:r>
      <w:r w:rsidR="00D527D7">
        <w:rPr>
          <w:color w:val="000000"/>
        </w:rPr>
        <w:t xml:space="preserve">. </w:t>
      </w:r>
    </w:p>
    <w:p w14:paraId="7F8ACDCF" w14:textId="0B068BAB" w:rsidR="00D527D7" w:rsidRDefault="00D527D7" w:rsidP="003C19B7">
      <w:pPr>
        <w:pBdr>
          <w:top w:val="nil"/>
          <w:left w:val="nil"/>
          <w:bottom w:val="nil"/>
          <w:right w:val="nil"/>
          <w:between w:val="nil"/>
        </w:pBdr>
        <w:spacing w:after="0" w:line="240" w:lineRule="auto"/>
        <w:rPr>
          <w:color w:val="000000"/>
        </w:rPr>
      </w:pPr>
    </w:p>
    <w:p w14:paraId="2CCF1093" w14:textId="4DDF5AAA" w:rsidR="00E94C68" w:rsidRDefault="00E94C68" w:rsidP="00D63AFC">
      <w:pPr>
        <w:pBdr>
          <w:top w:val="nil"/>
          <w:left w:val="nil"/>
          <w:bottom w:val="nil"/>
          <w:right w:val="nil"/>
          <w:between w:val="nil"/>
        </w:pBdr>
        <w:spacing w:after="0" w:line="240" w:lineRule="auto"/>
        <w:rPr>
          <w:color w:val="000000"/>
        </w:rPr>
      </w:pPr>
      <w:r>
        <w:rPr>
          <w:color w:val="000000"/>
        </w:rPr>
        <w:t>Upon receiving a complaint,</w:t>
      </w:r>
      <w:r w:rsidR="0097478C">
        <w:rPr>
          <w:color w:val="000000"/>
        </w:rPr>
        <w:t xml:space="preserve"> if the complaint is valid,</w:t>
      </w:r>
      <w:r>
        <w:rPr>
          <w:color w:val="000000"/>
        </w:rPr>
        <w:t xml:space="preserve"> the complainant must be sent a receipt via email or letter</w:t>
      </w:r>
      <w:r w:rsidR="00186428">
        <w:rPr>
          <w:color w:val="000000"/>
        </w:rPr>
        <w:t xml:space="preserve">. </w:t>
      </w:r>
      <w:r w:rsidR="0097478C">
        <w:rPr>
          <w:color w:val="000000"/>
        </w:rPr>
        <w:t>It</w:t>
      </w:r>
      <w:r w:rsidR="00186428">
        <w:rPr>
          <w:color w:val="000000"/>
        </w:rPr>
        <w:t xml:space="preserve"> should also include</w:t>
      </w:r>
      <w:r>
        <w:rPr>
          <w:color w:val="000000"/>
        </w:rPr>
        <w:t xml:space="preserve"> an explanation of the notice and takedown </w:t>
      </w:r>
      <w:r w:rsidR="00186428">
        <w:rPr>
          <w:color w:val="000000"/>
        </w:rPr>
        <w:t xml:space="preserve">review </w:t>
      </w:r>
      <w:r>
        <w:rPr>
          <w:color w:val="000000"/>
        </w:rPr>
        <w:t xml:space="preserve">process </w:t>
      </w:r>
      <w:r w:rsidR="00186428">
        <w:rPr>
          <w:color w:val="000000"/>
        </w:rPr>
        <w:t>(outlined below</w:t>
      </w:r>
      <w:r w:rsidR="0097478C">
        <w:rPr>
          <w:color w:val="000000"/>
        </w:rPr>
        <w:t xml:space="preserve"> in section 5</w:t>
      </w:r>
      <w:r w:rsidR="00186428">
        <w:rPr>
          <w:color w:val="000000"/>
        </w:rPr>
        <w:t xml:space="preserve">). </w:t>
      </w:r>
      <w:r w:rsidR="00140D51">
        <w:rPr>
          <w:color w:val="000000"/>
        </w:rPr>
        <w:t xml:space="preserve">The material in question should also be removed off the website until the matter is </w:t>
      </w:r>
      <w:r w:rsidR="0097478C">
        <w:rPr>
          <w:color w:val="000000"/>
        </w:rPr>
        <w:t>resolved</w:t>
      </w:r>
      <w:r w:rsidR="0045205D">
        <w:rPr>
          <w:color w:val="000000"/>
        </w:rPr>
        <w:t xml:space="preserve"> and replaced with a statement explaining how</w:t>
      </w:r>
      <w:r w:rsidR="003C5C7C">
        <w:rPr>
          <w:color w:val="000000"/>
        </w:rPr>
        <w:t xml:space="preserve"> access to</w:t>
      </w:r>
      <w:r w:rsidR="0045205D">
        <w:rPr>
          <w:color w:val="000000"/>
        </w:rPr>
        <w:t xml:space="preserve"> the </w:t>
      </w:r>
      <w:r w:rsidR="003C5C7C">
        <w:rPr>
          <w:color w:val="000000"/>
        </w:rPr>
        <w:t xml:space="preserve">material is being reviewed after a complaint. </w:t>
      </w:r>
    </w:p>
    <w:p w14:paraId="07CF50AC" w14:textId="77777777" w:rsidR="00F76620" w:rsidRPr="00140D51" w:rsidRDefault="00F76620" w:rsidP="00D63AFC">
      <w:pPr>
        <w:pBdr>
          <w:top w:val="nil"/>
          <w:left w:val="nil"/>
          <w:bottom w:val="nil"/>
          <w:right w:val="nil"/>
          <w:between w:val="nil"/>
        </w:pBdr>
        <w:spacing w:after="0" w:line="240" w:lineRule="auto"/>
        <w:rPr>
          <w:color w:val="000000"/>
        </w:rPr>
      </w:pPr>
    </w:p>
    <w:p w14:paraId="234FF5C2" w14:textId="0CA60081" w:rsidR="0097478C" w:rsidRDefault="0097478C" w:rsidP="00D63AFC">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Complaints about errors</w:t>
      </w:r>
    </w:p>
    <w:p w14:paraId="576E190C" w14:textId="77777777" w:rsidR="003C5C7C" w:rsidRDefault="003C5C7C" w:rsidP="003C5C7C">
      <w:pPr>
        <w:pStyle w:val="ListParagraph"/>
        <w:pBdr>
          <w:top w:val="nil"/>
          <w:left w:val="nil"/>
          <w:bottom w:val="nil"/>
          <w:right w:val="nil"/>
          <w:between w:val="nil"/>
        </w:pBdr>
        <w:spacing w:after="0" w:line="240" w:lineRule="auto"/>
        <w:ind w:left="284"/>
        <w:rPr>
          <w:b/>
          <w:bCs/>
          <w:color w:val="000000"/>
        </w:rPr>
      </w:pPr>
    </w:p>
    <w:p w14:paraId="1A5A80E8" w14:textId="786BBE7B" w:rsidR="0097478C" w:rsidRPr="0045205D" w:rsidRDefault="0045205D" w:rsidP="0097478C">
      <w:pPr>
        <w:pBdr>
          <w:top w:val="nil"/>
          <w:left w:val="nil"/>
          <w:bottom w:val="nil"/>
          <w:right w:val="nil"/>
          <w:between w:val="nil"/>
        </w:pBdr>
        <w:spacing w:after="0" w:line="240" w:lineRule="auto"/>
        <w:rPr>
          <w:color w:val="000000"/>
        </w:rPr>
      </w:pPr>
      <w:r>
        <w:rPr>
          <w:color w:val="000000"/>
        </w:rPr>
        <w:t xml:space="preserve">If it transpires the complaint is about material that should have been put online, the complaint can be resolved without a review process. The material is swiftly </w:t>
      </w:r>
      <w:r w:rsidR="004B24BE">
        <w:rPr>
          <w:color w:val="000000"/>
        </w:rPr>
        <w:t>removed,</w:t>
      </w:r>
      <w:r>
        <w:rPr>
          <w:color w:val="000000"/>
        </w:rPr>
        <w:t xml:space="preserve"> and the complainant is sent an email or letter acknowledging their complaint and explaining how the material has been removed. </w:t>
      </w:r>
    </w:p>
    <w:p w14:paraId="2A0A2572" w14:textId="77777777" w:rsidR="0097478C" w:rsidRDefault="0097478C" w:rsidP="0097478C">
      <w:pPr>
        <w:pStyle w:val="ListParagraph"/>
        <w:pBdr>
          <w:top w:val="nil"/>
          <w:left w:val="nil"/>
          <w:bottom w:val="nil"/>
          <w:right w:val="nil"/>
          <w:between w:val="nil"/>
        </w:pBdr>
        <w:spacing w:after="0" w:line="240" w:lineRule="auto"/>
        <w:ind w:left="284"/>
        <w:rPr>
          <w:b/>
          <w:bCs/>
          <w:color w:val="000000"/>
        </w:rPr>
      </w:pPr>
    </w:p>
    <w:p w14:paraId="3A2CC1D8" w14:textId="433A0148" w:rsidR="00D14A3D" w:rsidRDefault="00C53AE1" w:rsidP="00D63AFC">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Review process</w:t>
      </w:r>
    </w:p>
    <w:p w14:paraId="077A4924" w14:textId="77777777" w:rsidR="00140D51" w:rsidRDefault="00140D51" w:rsidP="00D63AFC">
      <w:pPr>
        <w:pBdr>
          <w:top w:val="nil"/>
          <w:left w:val="nil"/>
          <w:bottom w:val="nil"/>
          <w:right w:val="nil"/>
          <w:between w:val="nil"/>
        </w:pBdr>
        <w:spacing w:after="0" w:line="240" w:lineRule="auto"/>
        <w:rPr>
          <w:color w:val="000000"/>
        </w:rPr>
      </w:pPr>
    </w:p>
    <w:p w14:paraId="43472615" w14:textId="5877623B" w:rsidR="00E6505E" w:rsidRDefault="0097478C" w:rsidP="00D63AFC">
      <w:pPr>
        <w:pBdr>
          <w:top w:val="nil"/>
          <w:left w:val="nil"/>
          <w:bottom w:val="nil"/>
          <w:right w:val="nil"/>
          <w:between w:val="nil"/>
        </w:pBdr>
        <w:spacing w:after="0" w:line="240" w:lineRule="auto"/>
        <w:rPr>
          <w:color w:val="000000"/>
        </w:rPr>
      </w:pPr>
      <w:r>
        <w:rPr>
          <w:color w:val="000000"/>
        </w:rPr>
        <w:t>If it is a valid complaint, it</w:t>
      </w:r>
      <w:r w:rsidR="00140D51">
        <w:rPr>
          <w:color w:val="000000"/>
        </w:rPr>
        <w:t xml:space="preserve"> has been </w:t>
      </w:r>
      <w:r w:rsidR="00D53F0A">
        <w:rPr>
          <w:color w:val="000000"/>
        </w:rPr>
        <w:t>acknowledged</w:t>
      </w:r>
      <w:r w:rsidR="004B24BE">
        <w:rPr>
          <w:color w:val="000000"/>
        </w:rPr>
        <w:t>,</w:t>
      </w:r>
      <w:r w:rsidR="00D53F0A">
        <w:rPr>
          <w:color w:val="000000"/>
        </w:rPr>
        <w:t xml:space="preserve"> and the material taken offline the review process starts. </w:t>
      </w:r>
      <w:r w:rsidR="005A5935">
        <w:rPr>
          <w:color w:val="000000"/>
        </w:rPr>
        <w:t>It is important to document this process</w:t>
      </w:r>
      <w:r w:rsidR="00E6505E">
        <w:rPr>
          <w:color w:val="000000"/>
        </w:rPr>
        <w:t xml:space="preserve"> </w:t>
      </w:r>
      <w:r w:rsidR="007C6011">
        <w:rPr>
          <w:color w:val="000000"/>
        </w:rPr>
        <w:t xml:space="preserve">thoroughly </w:t>
      </w:r>
      <w:r w:rsidR="0045205D">
        <w:rPr>
          <w:color w:val="000000"/>
        </w:rPr>
        <w:t>to use as</w:t>
      </w:r>
      <w:r w:rsidR="00E6505E">
        <w:rPr>
          <w:color w:val="000000"/>
        </w:rPr>
        <w:t xml:space="preserve"> future reference</w:t>
      </w:r>
      <w:r w:rsidR="0045205D">
        <w:rPr>
          <w:color w:val="000000"/>
        </w:rPr>
        <w:t xml:space="preserve"> for other cases</w:t>
      </w:r>
      <w:r w:rsidR="00E6505E">
        <w:rPr>
          <w:color w:val="000000"/>
        </w:rPr>
        <w:t xml:space="preserve">. </w:t>
      </w:r>
      <w:r>
        <w:rPr>
          <w:color w:val="000000"/>
        </w:rPr>
        <w:t xml:space="preserve">It is advised to </w:t>
      </w:r>
      <w:r w:rsidR="0045205D">
        <w:rPr>
          <w:color w:val="000000"/>
        </w:rPr>
        <w:t>have</w:t>
      </w:r>
      <w:r>
        <w:rPr>
          <w:color w:val="000000"/>
        </w:rPr>
        <w:t xml:space="preserve"> a group of people review</w:t>
      </w:r>
      <w:r w:rsidR="0045205D">
        <w:rPr>
          <w:color w:val="000000"/>
        </w:rPr>
        <w:t xml:space="preserve"> the complaint instead a single person</w:t>
      </w:r>
      <w:r>
        <w:rPr>
          <w:color w:val="000000"/>
        </w:rPr>
        <w:t xml:space="preserve">. </w:t>
      </w:r>
      <w:r w:rsidR="0045205D">
        <w:rPr>
          <w:color w:val="000000"/>
        </w:rPr>
        <w:t>This is common practice in various institutions</w:t>
      </w:r>
      <w:r>
        <w:rPr>
          <w:color w:val="000000"/>
        </w:rPr>
        <w:t xml:space="preserve">, such as The National Archives in the UK, </w:t>
      </w:r>
      <w:r w:rsidR="0045205D">
        <w:rPr>
          <w:color w:val="000000"/>
        </w:rPr>
        <w:t>who have</w:t>
      </w:r>
      <w:r>
        <w:rPr>
          <w:color w:val="000000"/>
        </w:rPr>
        <w:t xml:space="preserve"> a</w:t>
      </w:r>
      <w:r w:rsidR="0045205D">
        <w:rPr>
          <w:color w:val="000000"/>
        </w:rPr>
        <w:t>n official</w:t>
      </w:r>
      <w:r>
        <w:rPr>
          <w:color w:val="000000"/>
        </w:rPr>
        <w:t xml:space="preserve"> Takedown panel</w:t>
      </w:r>
      <w:r w:rsidR="0045205D">
        <w:rPr>
          <w:color w:val="000000"/>
        </w:rPr>
        <w:t>. T</w:t>
      </w:r>
      <w:r w:rsidR="00E6505E">
        <w:rPr>
          <w:color w:val="000000"/>
        </w:rPr>
        <w:t>he review process is about negotiati</w:t>
      </w:r>
      <w:r w:rsidR="007C6011">
        <w:rPr>
          <w:color w:val="000000"/>
        </w:rPr>
        <w:t xml:space="preserve">ng a balance between the Archives’ </w:t>
      </w:r>
      <w:r w:rsidR="0045205D">
        <w:rPr>
          <w:color w:val="000000"/>
        </w:rPr>
        <w:t>mission</w:t>
      </w:r>
      <w:r w:rsidR="007C6011">
        <w:rPr>
          <w:color w:val="000000"/>
        </w:rPr>
        <w:t xml:space="preserve"> to make material available and the complaint’s rights. The negotiation process only ends when both parties are </w:t>
      </w:r>
      <w:r w:rsidR="001C0B42">
        <w:rPr>
          <w:color w:val="000000"/>
        </w:rPr>
        <w:t xml:space="preserve">happy with the outcome </w:t>
      </w:r>
      <w:r w:rsidR="0045205D">
        <w:rPr>
          <w:color w:val="000000"/>
        </w:rPr>
        <w:t>(S</w:t>
      </w:r>
      <w:r w:rsidR="001C0B42">
        <w:rPr>
          <w:color w:val="000000"/>
        </w:rPr>
        <w:t xml:space="preserve">ection </w:t>
      </w:r>
      <w:r w:rsidR="0045205D">
        <w:rPr>
          <w:color w:val="000000"/>
        </w:rPr>
        <w:t>9</w:t>
      </w:r>
      <w:r w:rsidR="001C0B42">
        <w:rPr>
          <w:color w:val="000000"/>
        </w:rPr>
        <w:t>.)</w:t>
      </w:r>
    </w:p>
    <w:p w14:paraId="3C63A127" w14:textId="552A2484" w:rsidR="001A4257" w:rsidRDefault="001A4257" w:rsidP="00D63AFC">
      <w:pPr>
        <w:pBdr>
          <w:top w:val="nil"/>
          <w:left w:val="nil"/>
          <w:bottom w:val="nil"/>
          <w:right w:val="nil"/>
          <w:between w:val="nil"/>
        </w:pBdr>
        <w:spacing w:after="0" w:line="240" w:lineRule="auto"/>
        <w:rPr>
          <w:color w:val="000000"/>
        </w:rPr>
      </w:pPr>
    </w:p>
    <w:p w14:paraId="4CC7C381" w14:textId="7F90CFB8" w:rsidR="001A4257" w:rsidRDefault="00C53AE1" w:rsidP="00D63AFC">
      <w:pPr>
        <w:pStyle w:val="ListParagraph"/>
        <w:numPr>
          <w:ilvl w:val="0"/>
          <w:numId w:val="1"/>
        </w:numPr>
        <w:pBdr>
          <w:top w:val="nil"/>
          <w:left w:val="nil"/>
          <w:bottom w:val="nil"/>
          <w:right w:val="nil"/>
          <w:between w:val="nil"/>
        </w:pBdr>
        <w:spacing w:after="0" w:line="240" w:lineRule="auto"/>
        <w:ind w:left="284" w:hanging="284"/>
        <w:rPr>
          <w:b/>
          <w:bCs/>
          <w:color w:val="000000"/>
        </w:rPr>
      </w:pPr>
      <w:r w:rsidRPr="00C53AE1">
        <w:rPr>
          <w:b/>
          <w:bCs/>
          <w:color w:val="000000"/>
        </w:rPr>
        <w:t>Reviewing copyright complaints</w:t>
      </w:r>
      <w:r w:rsidR="001A4257" w:rsidRPr="00C53AE1">
        <w:rPr>
          <w:b/>
          <w:bCs/>
          <w:color w:val="000000"/>
        </w:rPr>
        <w:t xml:space="preserve"> </w:t>
      </w:r>
    </w:p>
    <w:p w14:paraId="717DCF7C" w14:textId="07EFC9AB" w:rsidR="00D527D7" w:rsidRDefault="00D527D7" w:rsidP="00D527D7">
      <w:pPr>
        <w:pBdr>
          <w:top w:val="nil"/>
          <w:left w:val="nil"/>
          <w:bottom w:val="nil"/>
          <w:right w:val="nil"/>
          <w:between w:val="nil"/>
        </w:pBdr>
        <w:spacing w:after="0" w:line="240" w:lineRule="auto"/>
        <w:rPr>
          <w:b/>
          <w:bCs/>
          <w:color w:val="000000"/>
        </w:rPr>
      </w:pPr>
    </w:p>
    <w:p w14:paraId="1F58B198" w14:textId="6F368833" w:rsidR="00D527D7" w:rsidRPr="003C5C7C" w:rsidRDefault="003C5C7C" w:rsidP="00D527D7">
      <w:pPr>
        <w:pBdr>
          <w:top w:val="nil"/>
          <w:left w:val="nil"/>
          <w:bottom w:val="nil"/>
          <w:right w:val="nil"/>
          <w:between w:val="nil"/>
        </w:pBdr>
        <w:spacing w:after="0" w:line="240" w:lineRule="auto"/>
        <w:rPr>
          <w:color w:val="000000"/>
        </w:rPr>
      </w:pPr>
      <w:r>
        <w:rPr>
          <w:color w:val="000000"/>
        </w:rPr>
        <w:t xml:space="preserve">The Archive </w:t>
      </w:r>
      <w:r w:rsidR="00D527D7">
        <w:rPr>
          <w:color w:val="000000"/>
        </w:rPr>
        <w:t xml:space="preserve">will </w:t>
      </w:r>
      <w:r>
        <w:rPr>
          <w:color w:val="000000"/>
        </w:rPr>
        <w:t xml:space="preserve">always try to </w:t>
      </w:r>
      <w:r w:rsidR="00D527D7">
        <w:rPr>
          <w:color w:val="000000"/>
        </w:rPr>
        <w:t xml:space="preserve">obtain a copyright license, but there may be circumstances where copyright was not </w:t>
      </w:r>
      <w:r>
        <w:rPr>
          <w:color w:val="000000"/>
        </w:rPr>
        <w:t>acquired</w:t>
      </w:r>
      <w:r w:rsidR="00D527D7">
        <w:rPr>
          <w:color w:val="000000"/>
        </w:rPr>
        <w:t xml:space="preserve"> by mistake or, despite efforts, the copyright holder was not found making the material an “orphan work”. </w:t>
      </w:r>
      <w:r w:rsidR="00D527D7" w:rsidRPr="00E50FC0">
        <w:rPr>
          <w:rFonts w:asciiTheme="minorHAnsi" w:hAnsiTheme="minorHAnsi" w:cstheme="minorHAnsi"/>
        </w:rPr>
        <w:t xml:space="preserve">The term “orphan work” refers to material where the original creator is not contactable or not known. </w:t>
      </w:r>
      <w:r>
        <w:rPr>
          <w:rFonts w:asciiTheme="minorHAnsi" w:hAnsiTheme="minorHAnsi" w:cstheme="minorHAnsi"/>
        </w:rPr>
        <w:t xml:space="preserve">By putting the orphaned material </w:t>
      </w:r>
      <w:r w:rsidR="008D484B">
        <w:rPr>
          <w:rFonts w:asciiTheme="minorHAnsi" w:hAnsiTheme="minorHAnsi" w:cstheme="minorHAnsi"/>
        </w:rPr>
        <w:t>online,</w:t>
      </w:r>
      <w:r>
        <w:rPr>
          <w:rFonts w:asciiTheme="minorHAnsi" w:hAnsiTheme="minorHAnsi" w:cstheme="minorHAnsi"/>
        </w:rPr>
        <w:t xml:space="preserve"> the Archive risks violating copyright. However, the notice and takedown policy creates a channel for the copyright holder to contact the Archive directly if </w:t>
      </w:r>
      <w:r w:rsidR="00513203">
        <w:rPr>
          <w:rFonts w:asciiTheme="minorHAnsi" w:hAnsiTheme="minorHAnsi" w:cstheme="minorHAnsi"/>
        </w:rPr>
        <w:t>copyright violating material is found on</w:t>
      </w:r>
      <w:r>
        <w:rPr>
          <w:rFonts w:asciiTheme="minorHAnsi" w:hAnsiTheme="minorHAnsi" w:cstheme="minorHAnsi"/>
        </w:rPr>
        <w:t xml:space="preserve"> the online archive. </w:t>
      </w:r>
    </w:p>
    <w:p w14:paraId="15184DE3" w14:textId="77777777" w:rsidR="00D527D7" w:rsidRPr="00D527D7" w:rsidRDefault="00D527D7" w:rsidP="00D527D7">
      <w:pPr>
        <w:pBdr>
          <w:top w:val="nil"/>
          <w:left w:val="nil"/>
          <w:bottom w:val="nil"/>
          <w:right w:val="nil"/>
          <w:between w:val="nil"/>
        </w:pBdr>
        <w:spacing w:after="0" w:line="240" w:lineRule="auto"/>
        <w:rPr>
          <w:b/>
          <w:bCs/>
          <w:color w:val="000000"/>
        </w:rPr>
      </w:pPr>
    </w:p>
    <w:p w14:paraId="5CCEE56D" w14:textId="45CE0293" w:rsidR="00D63AFC" w:rsidRDefault="003C5C7C" w:rsidP="00D63AFC">
      <w:pPr>
        <w:pBdr>
          <w:top w:val="nil"/>
          <w:left w:val="nil"/>
          <w:bottom w:val="nil"/>
          <w:right w:val="nil"/>
          <w:between w:val="nil"/>
        </w:pBdr>
        <w:spacing w:after="0" w:line="240" w:lineRule="auto"/>
        <w:rPr>
          <w:color w:val="000000"/>
        </w:rPr>
      </w:pPr>
      <w:r>
        <w:rPr>
          <w:color w:val="000000"/>
        </w:rPr>
        <w:t xml:space="preserve">The </w:t>
      </w:r>
      <w:r w:rsidR="009A348E">
        <w:rPr>
          <w:color w:val="000000"/>
        </w:rPr>
        <w:t xml:space="preserve">complainant </w:t>
      </w:r>
      <w:r w:rsidR="00D63AFC">
        <w:rPr>
          <w:color w:val="000000"/>
        </w:rPr>
        <w:t xml:space="preserve">must </w:t>
      </w:r>
      <w:r w:rsidR="009A348E">
        <w:rPr>
          <w:color w:val="000000"/>
        </w:rPr>
        <w:t xml:space="preserve">first </w:t>
      </w:r>
      <w:r w:rsidR="00D63AFC">
        <w:rPr>
          <w:color w:val="000000"/>
        </w:rPr>
        <w:t>prove they are the rights holder</w:t>
      </w:r>
      <w:r w:rsidR="009A348E">
        <w:rPr>
          <w:color w:val="000000"/>
        </w:rPr>
        <w:t xml:space="preserve"> by providing relevant evidence. </w:t>
      </w:r>
      <w:r w:rsidR="003C17B8">
        <w:rPr>
          <w:color w:val="000000"/>
        </w:rPr>
        <w:t xml:space="preserve">Some institutions advise contacting the donor of the material to see if they have any information which will help clarify the situation. </w:t>
      </w:r>
      <w:r w:rsidR="00D63AFC">
        <w:rPr>
          <w:color w:val="000000"/>
        </w:rPr>
        <w:t xml:space="preserve">If </w:t>
      </w:r>
      <w:r w:rsidR="003C17B8">
        <w:rPr>
          <w:color w:val="000000"/>
        </w:rPr>
        <w:t>the complainant is</w:t>
      </w:r>
      <w:r w:rsidR="009A348E">
        <w:rPr>
          <w:color w:val="000000"/>
        </w:rPr>
        <w:t xml:space="preserve"> the copyright holder, </w:t>
      </w:r>
      <w:r w:rsidR="00D63AFC">
        <w:rPr>
          <w:color w:val="000000"/>
        </w:rPr>
        <w:t>the opportunity is there to rectify the matter by drawing up a copyright agreement</w:t>
      </w:r>
      <w:r w:rsidR="009A348E">
        <w:rPr>
          <w:color w:val="000000"/>
        </w:rPr>
        <w:t xml:space="preserve">, which </w:t>
      </w:r>
      <w:r w:rsidR="003C17B8">
        <w:rPr>
          <w:color w:val="000000"/>
        </w:rPr>
        <w:t>all</w:t>
      </w:r>
      <w:r w:rsidR="009A348E">
        <w:rPr>
          <w:color w:val="000000"/>
        </w:rPr>
        <w:t xml:space="preserve"> parties are comfortable with. </w:t>
      </w:r>
      <w:r w:rsidR="00D63AFC">
        <w:rPr>
          <w:color w:val="000000"/>
        </w:rPr>
        <w:t xml:space="preserve"> </w:t>
      </w:r>
    </w:p>
    <w:p w14:paraId="14996AC1" w14:textId="5CA127BB" w:rsidR="003C5C7C" w:rsidRDefault="003C5C7C" w:rsidP="00D63AFC">
      <w:pPr>
        <w:pBdr>
          <w:top w:val="nil"/>
          <w:left w:val="nil"/>
          <w:bottom w:val="nil"/>
          <w:right w:val="nil"/>
          <w:between w:val="nil"/>
        </w:pBdr>
        <w:spacing w:after="0" w:line="240" w:lineRule="auto"/>
        <w:rPr>
          <w:color w:val="000000"/>
        </w:rPr>
      </w:pPr>
    </w:p>
    <w:p w14:paraId="2D7E24ED" w14:textId="26440D29" w:rsidR="003C5C7C" w:rsidRDefault="003C5C7C" w:rsidP="00D63AFC">
      <w:pPr>
        <w:pBdr>
          <w:top w:val="nil"/>
          <w:left w:val="nil"/>
          <w:bottom w:val="nil"/>
          <w:right w:val="nil"/>
          <w:between w:val="nil"/>
        </w:pBdr>
        <w:spacing w:after="0" w:line="240" w:lineRule="auto"/>
        <w:rPr>
          <w:color w:val="000000"/>
        </w:rPr>
      </w:pPr>
      <w:r>
        <w:rPr>
          <w:color w:val="000000"/>
        </w:rPr>
        <w:t xml:space="preserve">In more complicated cases, </w:t>
      </w:r>
      <w:r w:rsidR="008D484B">
        <w:rPr>
          <w:color w:val="000000"/>
        </w:rPr>
        <w:t>for example</w:t>
      </w:r>
      <w:r>
        <w:rPr>
          <w:color w:val="000000"/>
        </w:rPr>
        <w:t xml:space="preserve"> the complaint is about </w:t>
      </w:r>
      <w:r w:rsidR="008D484B">
        <w:rPr>
          <w:color w:val="000000"/>
        </w:rPr>
        <w:t xml:space="preserve">the copyright of an image used inside an archived newspaper article, it is the newspaper’s publisher who are at fault not the archive. Another complicated example is where a complaint has been made about copyright because material published in the archive is the same as material published elsewhere, say a book. The debate then </w:t>
      </w:r>
      <w:r w:rsidR="00CD650F">
        <w:rPr>
          <w:color w:val="000000"/>
        </w:rPr>
        <w:t>becomes</w:t>
      </w:r>
      <w:r w:rsidR="008D484B">
        <w:rPr>
          <w:color w:val="000000"/>
        </w:rPr>
        <w:t xml:space="preserve"> about who published the material first (Dressler &amp; Kristof, 2018). </w:t>
      </w:r>
    </w:p>
    <w:p w14:paraId="6C3365C4" w14:textId="77777777" w:rsidR="00D63AFC" w:rsidRDefault="00D63AFC" w:rsidP="00D63AFC">
      <w:pPr>
        <w:pBdr>
          <w:top w:val="nil"/>
          <w:left w:val="nil"/>
          <w:bottom w:val="nil"/>
          <w:right w:val="nil"/>
          <w:between w:val="nil"/>
        </w:pBdr>
        <w:spacing w:after="0" w:line="240" w:lineRule="auto"/>
        <w:rPr>
          <w:color w:val="000000"/>
        </w:rPr>
      </w:pPr>
    </w:p>
    <w:p w14:paraId="270CAB18" w14:textId="29B9B5F1" w:rsidR="00757207" w:rsidRPr="00C53AE1" w:rsidRDefault="00C53AE1" w:rsidP="00D63AFC">
      <w:pPr>
        <w:pStyle w:val="ListParagraph"/>
        <w:numPr>
          <w:ilvl w:val="0"/>
          <w:numId w:val="1"/>
        </w:numPr>
        <w:pBdr>
          <w:top w:val="nil"/>
          <w:left w:val="nil"/>
          <w:bottom w:val="nil"/>
          <w:right w:val="nil"/>
          <w:between w:val="nil"/>
        </w:pBdr>
        <w:spacing w:after="0" w:line="240" w:lineRule="auto"/>
        <w:ind w:left="284" w:hanging="284"/>
        <w:rPr>
          <w:b/>
          <w:bCs/>
          <w:color w:val="000000"/>
        </w:rPr>
      </w:pPr>
      <w:r w:rsidRPr="00C53AE1">
        <w:rPr>
          <w:b/>
          <w:bCs/>
          <w:color w:val="000000"/>
        </w:rPr>
        <w:t xml:space="preserve">Reviewing personal data complaints </w:t>
      </w:r>
    </w:p>
    <w:p w14:paraId="149AF9E8" w14:textId="77777777" w:rsidR="003C19B7" w:rsidRDefault="003C19B7" w:rsidP="00D63AFC">
      <w:pPr>
        <w:pBdr>
          <w:top w:val="nil"/>
          <w:left w:val="nil"/>
          <w:bottom w:val="nil"/>
          <w:right w:val="nil"/>
          <w:between w:val="nil"/>
        </w:pBdr>
        <w:spacing w:after="0" w:line="240" w:lineRule="auto"/>
        <w:rPr>
          <w:b/>
          <w:bCs/>
          <w:color w:val="000000"/>
        </w:rPr>
      </w:pPr>
    </w:p>
    <w:p w14:paraId="786C28B1" w14:textId="38332FB8" w:rsidR="00D933B0" w:rsidRDefault="00D933B0" w:rsidP="00D63AFC">
      <w:pPr>
        <w:pBdr>
          <w:top w:val="nil"/>
          <w:left w:val="nil"/>
          <w:bottom w:val="nil"/>
          <w:right w:val="nil"/>
          <w:between w:val="nil"/>
        </w:pBdr>
        <w:spacing w:after="0" w:line="240" w:lineRule="auto"/>
        <w:rPr>
          <w:color w:val="000000"/>
        </w:rPr>
      </w:pPr>
      <w:r>
        <w:rPr>
          <w:color w:val="000000"/>
        </w:rPr>
        <w:t xml:space="preserve">Although the Right to Be Forgotten has been used in various court cases, it becomes a bit more complicated when it is placed in the context of archives. Archives are responsible for keeping history and allowing people to access history. The removing or censoring of elements of history is not considered ethical practice. The reviewing of complaints about personal data therefore become a balancing act between the Archive’s responsibility to history and a person’s right to be forgotten. </w:t>
      </w:r>
    </w:p>
    <w:p w14:paraId="1EBA65E9" w14:textId="6FE45ABB" w:rsidR="00D933B0" w:rsidRDefault="00D933B0" w:rsidP="00D63AFC">
      <w:pPr>
        <w:pBdr>
          <w:top w:val="nil"/>
          <w:left w:val="nil"/>
          <w:bottom w:val="nil"/>
          <w:right w:val="nil"/>
          <w:between w:val="nil"/>
        </w:pBdr>
        <w:spacing w:after="0" w:line="240" w:lineRule="auto"/>
        <w:rPr>
          <w:color w:val="000000"/>
        </w:rPr>
      </w:pPr>
    </w:p>
    <w:p w14:paraId="2679B5E4" w14:textId="06941474" w:rsidR="00D933B0" w:rsidRDefault="00D933B0" w:rsidP="00D63AFC">
      <w:pPr>
        <w:pBdr>
          <w:top w:val="nil"/>
          <w:left w:val="nil"/>
          <w:bottom w:val="nil"/>
          <w:right w:val="nil"/>
          <w:between w:val="nil"/>
        </w:pBdr>
        <w:spacing w:after="0" w:line="240" w:lineRule="auto"/>
        <w:rPr>
          <w:color w:val="000000"/>
        </w:rPr>
      </w:pPr>
      <w:r>
        <w:rPr>
          <w:color w:val="000000"/>
        </w:rPr>
        <w:t xml:space="preserve">There are however a couple of ways people have thought of how to handle personal data in archives. Firstly, you should consider if access to the information in question would threaten the person’s safety, for example social security numbers, home addresses etc. If so, the information should be removed. A second question to ask is whether the information can be found anywhere </w:t>
      </w:r>
      <w:r>
        <w:rPr>
          <w:color w:val="000000"/>
        </w:rPr>
        <w:lastRenderedPageBreak/>
        <w:t xml:space="preserve">else online. In the case the information is available somewhere else the removal of the information </w:t>
      </w:r>
      <w:r w:rsidR="00513203">
        <w:rPr>
          <w:color w:val="000000"/>
        </w:rPr>
        <w:t xml:space="preserve">within the Archive </w:t>
      </w:r>
      <w:r w:rsidR="00CD650F">
        <w:rPr>
          <w:color w:val="000000"/>
        </w:rPr>
        <w:t xml:space="preserve">does not help the person in their right to be forgotten </w:t>
      </w:r>
      <w:r w:rsidR="003C17B8">
        <w:rPr>
          <w:color w:val="000000"/>
        </w:rPr>
        <w:t>(Dressler &amp; Kristof, 2018)</w:t>
      </w:r>
      <w:r w:rsidR="00513203">
        <w:rPr>
          <w:color w:val="000000"/>
        </w:rPr>
        <w:t xml:space="preserve">. If the information in question does not threaten the person’s safety but is only found in the archive the decision comes down to the negotiation between the ones reviewing the complaint and the complainant. </w:t>
      </w:r>
      <w:r w:rsidR="003C17B8">
        <w:rPr>
          <w:color w:val="000000"/>
        </w:rPr>
        <w:t xml:space="preserve">There are a range of outcomes the Archive can use to make the complainant more comfortable with the situation (See section 9). </w:t>
      </w:r>
    </w:p>
    <w:p w14:paraId="46C5888B" w14:textId="5B1D2953" w:rsidR="00757207" w:rsidRDefault="00757207" w:rsidP="00D63AFC">
      <w:pPr>
        <w:pBdr>
          <w:top w:val="nil"/>
          <w:left w:val="nil"/>
          <w:bottom w:val="nil"/>
          <w:right w:val="nil"/>
          <w:between w:val="nil"/>
        </w:pBdr>
        <w:spacing w:after="0" w:line="240" w:lineRule="auto"/>
        <w:rPr>
          <w:color w:val="000000"/>
        </w:rPr>
      </w:pPr>
    </w:p>
    <w:p w14:paraId="5D55D49F" w14:textId="4E2B77F0" w:rsidR="00D63AFC" w:rsidRPr="00C53AE1" w:rsidRDefault="00C53AE1" w:rsidP="00D63AFC">
      <w:pPr>
        <w:pStyle w:val="ListParagraph"/>
        <w:numPr>
          <w:ilvl w:val="0"/>
          <w:numId w:val="1"/>
        </w:numPr>
        <w:pBdr>
          <w:top w:val="nil"/>
          <w:left w:val="nil"/>
          <w:bottom w:val="nil"/>
          <w:right w:val="nil"/>
          <w:between w:val="nil"/>
        </w:pBdr>
        <w:spacing w:after="0" w:line="240" w:lineRule="auto"/>
        <w:ind w:left="284" w:hanging="284"/>
        <w:rPr>
          <w:b/>
          <w:bCs/>
          <w:color w:val="000000"/>
        </w:rPr>
      </w:pPr>
      <w:r w:rsidRPr="00C53AE1">
        <w:rPr>
          <w:b/>
          <w:bCs/>
          <w:color w:val="000000"/>
        </w:rPr>
        <w:t>Reviewing complaints around d</w:t>
      </w:r>
      <w:r w:rsidR="00D63AFC" w:rsidRPr="00C53AE1">
        <w:rPr>
          <w:b/>
          <w:bCs/>
          <w:color w:val="000000"/>
        </w:rPr>
        <w:t>efamation</w:t>
      </w:r>
      <w:r w:rsidRPr="00C53AE1">
        <w:rPr>
          <w:b/>
          <w:bCs/>
          <w:color w:val="000000"/>
        </w:rPr>
        <w:t>,</w:t>
      </w:r>
      <w:r w:rsidR="00D63AFC" w:rsidRPr="00C53AE1">
        <w:rPr>
          <w:b/>
          <w:bCs/>
          <w:color w:val="000000"/>
        </w:rPr>
        <w:t xml:space="preserve"> obscenity</w:t>
      </w:r>
      <w:r w:rsidRPr="00C53AE1">
        <w:rPr>
          <w:b/>
          <w:bCs/>
          <w:color w:val="000000"/>
        </w:rPr>
        <w:t>, or cultural sensitivity</w:t>
      </w:r>
    </w:p>
    <w:p w14:paraId="3D005C1D" w14:textId="771AF6EC" w:rsidR="00D63AFC" w:rsidRDefault="00D63AFC" w:rsidP="00D63AFC">
      <w:pPr>
        <w:pBdr>
          <w:top w:val="nil"/>
          <w:left w:val="nil"/>
          <w:bottom w:val="nil"/>
          <w:right w:val="nil"/>
          <w:between w:val="nil"/>
        </w:pBdr>
        <w:spacing w:after="0" w:line="240" w:lineRule="auto"/>
        <w:rPr>
          <w:b/>
          <w:bCs/>
          <w:color w:val="000000"/>
        </w:rPr>
      </w:pPr>
    </w:p>
    <w:p w14:paraId="722FDC9F" w14:textId="187EC6A7" w:rsidR="0011442F" w:rsidRPr="0011442F" w:rsidRDefault="0011442F" w:rsidP="00D63AFC">
      <w:pPr>
        <w:pBdr>
          <w:top w:val="nil"/>
          <w:left w:val="nil"/>
          <w:bottom w:val="nil"/>
          <w:right w:val="nil"/>
          <w:between w:val="nil"/>
        </w:pBdr>
        <w:spacing w:after="0" w:line="240" w:lineRule="auto"/>
        <w:rPr>
          <w:color w:val="000000"/>
        </w:rPr>
      </w:pPr>
      <w:r>
        <w:rPr>
          <w:color w:val="000000"/>
        </w:rPr>
        <w:t>The Archive cannot be held responsible for defamatory or obscene language within material since they are only the ‘host’ of this material</w:t>
      </w:r>
      <w:r w:rsidR="003C17B8">
        <w:rPr>
          <w:color w:val="000000"/>
        </w:rPr>
        <w:t xml:space="preserve"> and not the creators.</w:t>
      </w:r>
      <w:r>
        <w:rPr>
          <w:color w:val="000000"/>
        </w:rPr>
        <w:t xml:space="preserve"> The Archive can, however, offer to </w:t>
      </w:r>
      <w:r w:rsidR="00FD1CF4">
        <w:rPr>
          <w:color w:val="000000"/>
        </w:rPr>
        <w:t xml:space="preserve">add contextual information to the archival </w:t>
      </w:r>
      <w:r w:rsidR="00CD650F">
        <w:rPr>
          <w:color w:val="000000"/>
        </w:rPr>
        <w:t>material,</w:t>
      </w:r>
      <w:r w:rsidR="008A7C1E">
        <w:rPr>
          <w:color w:val="000000"/>
        </w:rPr>
        <w:t xml:space="preserve"> if necessary, to enhance the historical </w:t>
      </w:r>
      <w:r w:rsidR="003C17B8">
        <w:rPr>
          <w:color w:val="000000"/>
        </w:rPr>
        <w:t>context</w:t>
      </w:r>
      <w:r w:rsidR="008A7C1E">
        <w:rPr>
          <w:color w:val="000000"/>
        </w:rPr>
        <w:t xml:space="preserve"> of the material. </w:t>
      </w:r>
    </w:p>
    <w:p w14:paraId="31FBE830" w14:textId="3D199586" w:rsidR="00612B71" w:rsidRDefault="00612B71" w:rsidP="00D63AFC">
      <w:pPr>
        <w:pBdr>
          <w:top w:val="nil"/>
          <w:left w:val="nil"/>
          <w:bottom w:val="nil"/>
          <w:right w:val="nil"/>
          <w:between w:val="nil"/>
        </w:pBdr>
        <w:spacing w:after="0" w:line="240" w:lineRule="auto"/>
        <w:rPr>
          <w:color w:val="000000"/>
        </w:rPr>
      </w:pPr>
    </w:p>
    <w:p w14:paraId="198A0D46" w14:textId="4A3086EC" w:rsidR="003C17B8" w:rsidRDefault="00C954A6" w:rsidP="00D63AFC">
      <w:pPr>
        <w:pBdr>
          <w:top w:val="nil"/>
          <w:left w:val="nil"/>
          <w:bottom w:val="nil"/>
          <w:right w:val="nil"/>
          <w:between w:val="nil"/>
        </w:pBdr>
        <w:spacing w:after="0" w:line="240" w:lineRule="auto"/>
        <w:rPr>
          <w:color w:val="000000"/>
        </w:rPr>
      </w:pPr>
      <w:r>
        <w:rPr>
          <w:color w:val="000000"/>
        </w:rPr>
        <w:t xml:space="preserve">A similar approach can be taken to cases of culturally sensitive information. Many </w:t>
      </w:r>
      <w:r w:rsidR="00CD650F">
        <w:rPr>
          <w:color w:val="000000"/>
        </w:rPr>
        <w:t>institutions</w:t>
      </w:r>
      <w:r>
        <w:rPr>
          <w:color w:val="000000"/>
        </w:rPr>
        <w:t xml:space="preserve">, especially in Australia and Canada have </w:t>
      </w:r>
      <w:proofErr w:type="gramStart"/>
      <w:r>
        <w:rPr>
          <w:color w:val="000000"/>
        </w:rPr>
        <w:t>made an effort</w:t>
      </w:r>
      <w:proofErr w:type="gramEnd"/>
      <w:r>
        <w:rPr>
          <w:color w:val="000000"/>
        </w:rPr>
        <w:t xml:space="preserve"> to help contextualise archival material about indigenous and aboriginal people. </w:t>
      </w:r>
    </w:p>
    <w:p w14:paraId="4012DCD5" w14:textId="77777777" w:rsidR="003C17B8" w:rsidRDefault="003C17B8" w:rsidP="00D63AFC">
      <w:pPr>
        <w:pBdr>
          <w:top w:val="nil"/>
          <w:left w:val="nil"/>
          <w:bottom w:val="nil"/>
          <w:right w:val="nil"/>
          <w:between w:val="nil"/>
        </w:pBdr>
        <w:spacing w:after="0" w:line="240" w:lineRule="auto"/>
        <w:rPr>
          <w:color w:val="000000"/>
        </w:rPr>
      </w:pPr>
    </w:p>
    <w:p w14:paraId="12BF7DC9" w14:textId="3117C6E1" w:rsidR="000C3B21" w:rsidRPr="00C53AE1" w:rsidRDefault="00CD650F" w:rsidP="000C3B21">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rPr>
        <w:t>Outcome options</w:t>
      </w:r>
    </w:p>
    <w:p w14:paraId="0CD72D6E" w14:textId="77777777" w:rsidR="00D63AFC" w:rsidRPr="00D63AFC" w:rsidRDefault="00D63AFC" w:rsidP="000C3B21">
      <w:pPr>
        <w:pStyle w:val="Default"/>
        <w:rPr>
          <w:rFonts w:ascii="Calibri" w:hAnsi="Calibri" w:cs="Calibri"/>
          <w:b/>
          <w:bCs/>
          <w:sz w:val="22"/>
          <w:szCs w:val="22"/>
        </w:rPr>
      </w:pPr>
    </w:p>
    <w:p w14:paraId="5425BBE5" w14:textId="6F3D4057" w:rsidR="00C954A6" w:rsidRDefault="00C954A6" w:rsidP="008A7C1E">
      <w:pPr>
        <w:pStyle w:val="Default"/>
        <w:rPr>
          <w:rFonts w:ascii="Calibri" w:hAnsi="Calibri" w:cs="Calibri"/>
          <w:sz w:val="22"/>
          <w:szCs w:val="22"/>
        </w:rPr>
      </w:pPr>
      <w:r>
        <w:rPr>
          <w:rFonts w:ascii="Calibri" w:hAnsi="Calibri" w:cs="Calibri"/>
          <w:sz w:val="22"/>
          <w:szCs w:val="22"/>
        </w:rPr>
        <w:t xml:space="preserve">There are variety of options available to help the negotiation process. In cases of copyright, it is easy to get correct paperwork in place to </w:t>
      </w:r>
      <w:r w:rsidR="00CD650F">
        <w:rPr>
          <w:rFonts w:ascii="Calibri" w:hAnsi="Calibri" w:cs="Calibri"/>
          <w:sz w:val="22"/>
          <w:szCs w:val="22"/>
        </w:rPr>
        <w:t>retain</w:t>
      </w:r>
      <w:r>
        <w:rPr>
          <w:rFonts w:ascii="Calibri" w:hAnsi="Calibri" w:cs="Calibri"/>
          <w:sz w:val="22"/>
          <w:szCs w:val="22"/>
        </w:rPr>
        <w:t xml:space="preserve"> </w:t>
      </w:r>
      <w:r w:rsidR="00CD650F">
        <w:rPr>
          <w:rFonts w:ascii="Calibri" w:hAnsi="Calibri" w:cs="Calibri"/>
          <w:sz w:val="22"/>
          <w:szCs w:val="22"/>
        </w:rPr>
        <w:t xml:space="preserve">online </w:t>
      </w:r>
      <w:r>
        <w:rPr>
          <w:rFonts w:ascii="Calibri" w:hAnsi="Calibri" w:cs="Calibri"/>
          <w:sz w:val="22"/>
          <w:szCs w:val="22"/>
        </w:rPr>
        <w:t xml:space="preserve">access. When it comes to removing </w:t>
      </w:r>
      <w:r w:rsidR="00750F1F">
        <w:rPr>
          <w:rFonts w:ascii="Calibri" w:hAnsi="Calibri" w:cs="Calibri"/>
          <w:sz w:val="22"/>
          <w:szCs w:val="22"/>
        </w:rPr>
        <w:t xml:space="preserve">online </w:t>
      </w:r>
      <w:r>
        <w:rPr>
          <w:rFonts w:ascii="Calibri" w:hAnsi="Calibri" w:cs="Calibri"/>
          <w:sz w:val="22"/>
          <w:szCs w:val="22"/>
        </w:rPr>
        <w:t>information, this can be done fully or partially</w:t>
      </w:r>
      <w:r w:rsidR="00CD650F">
        <w:rPr>
          <w:rFonts w:ascii="Calibri" w:hAnsi="Calibri" w:cs="Calibri"/>
          <w:sz w:val="22"/>
          <w:szCs w:val="22"/>
        </w:rPr>
        <w:t>,</w:t>
      </w:r>
      <w:r>
        <w:rPr>
          <w:rFonts w:ascii="Calibri" w:hAnsi="Calibri" w:cs="Calibri"/>
          <w:sz w:val="22"/>
          <w:szCs w:val="22"/>
        </w:rPr>
        <w:t xml:space="preserve"> depending on what the parties agree on. Another option is to remove the material from Google searches therefore </w:t>
      </w:r>
      <w:r w:rsidR="00CD650F">
        <w:rPr>
          <w:rFonts w:ascii="Calibri" w:hAnsi="Calibri" w:cs="Calibri"/>
          <w:sz w:val="22"/>
          <w:szCs w:val="22"/>
        </w:rPr>
        <w:t xml:space="preserve">limiting </w:t>
      </w:r>
      <w:r>
        <w:rPr>
          <w:rFonts w:ascii="Calibri" w:hAnsi="Calibri" w:cs="Calibri"/>
          <w:sz w:val="22"/>
          <w:szCs w:val="22"/>
        </w:rPr>
        <w:t xml:space="preserve">one of the pathways people can reach the information. </w:t>
      </w:r>
    </w:p>
    <w:p w14:paraId="523995FE" w14:textId="77777777" w:rsidR="00C954A6" w:rsidRDefault="00C954A6" w:rsidP="008A7C1E">
      <w:pPr>
        <w:pStyle w:val="Default"/>
        <w:rPr>
          <w:rFonts w:ascii="Calibri" w:hAnsi="Calibri" w:cs="Calibri"/>
          <w:sz w:val="22"/>
          <w:szCs w:val="22"/>
        </w:rPr>
      </w:pPr>
    </w:p>
    <w:p w14:paraId="5E47550A" w14:textId="1AF30765" w:rsidR="009B08A9" w:rsidRDefault="008A7C1E" w:rsidP="008A7C1E">
      <w:pPr>
        <w:pStyle w:val="Default"/>
        <w:rPr>
          <w:rFonts w:ascii="Calibri" w:hAnsi="Calibri" w:cs="Calibri"/>
          <w:sz w:val="22"/>
          <w:szCs w:val="22"/>
        </w:rPr>
      </w:pPr>
      <w:r>
        <w:rPr>
          <w:rFonts w:ascii="Calibri" w:hAnsi="Calibri" w:cs="Calibri"/>
          <w:sz w:val="22"/>
          <w:szCs w:val="22"/>
        </w:rPr>
        <w:t>In cases of removal a return date should be agreed upon by both parties</w:t>
      </w:r>
      <w:r w:rsidR="00C954A6">
        <w:rPr>
          <w:rFonts w:ascii="Calibri" w:hAnsi="Calibri" w:cs="Calibri"/>
          <w:sz w:val="22"/>
          <w:szCs w:val="22"/>
        </w:rPr>
        <w:t>, e</w:t>
      </w:r>
      <w:r w:rsidR="003C17B8">
        <w:rPr>
          <w:rFonts w:ascii="Calibri" w:hAnsi="Calibri" w:cs="Calibri"/>
          <w:sz w:val="22"/>
          <w:szCs w:val="22"/>
        </w:rPr>
        <w:t xml:space="preserve">specially in cases where the information is helpful for the context. </w:t>
      </w:r>
      <w:r w:rsidR="00C954A6">
        <w:rPr>
          <w:rFonts w:ascii="Calibri" w:hAnsi="Calibri" w:cs="Calibri"/>
          <w:sz w:val="22"/>
          <w:szCs w:val="22"/>
        </w:rPr>
        <w:t>Any removal of information should be recorde</w:t>
      </w:r>
      <w:r w:rsidR="00750F1F">
        <w:rPr>
          <w:rFonts w:ascii="Calibri" w:hAnsi="Calibri" w:cs="Calibri"/>
          <w:sz w:val="22"/>
          <w:szCs w:val="22"/>
        </w:rPr>
        <w:t>d</w:t>
      </w:r>
      <w:r w:rsidR="00C954A6">
        <w:rPr>
          <w:rFonts w:ascii="Calibri" w:hAnsi="Calibri" w:cs="Calibri"/>
          <w:sz w:val="22"/>
          <w:szCs w:val="22"/>
        </w:rPr>
        <w:t xml:space="preserve"> on the website</w:t>
      </w:r>
      <w:r w:rsidR="00750F1F">
        <w:rPr>
          <w:rFonts w:ascii="Calibri" w:hAnsi="Calibri" w:cs="Calibri"/>
          <w:sz w:val="22"/>
          <w:szCs w:val="22"/>
        </w:rPr>
        <w:t>, communicating the status of the material to any interested party.</w:t>
      </w:r>
    </w:p>
    <w:p w14:paraId="491002DF" w14:textId="73B3391C" w:rsidR="00C954A6" w:rsidRPr="00C954A6" w:rsidRDefault="00C954A6" w:rsidP="00C954A6">
      <w:pPr>
        <w:pBdr>
          <w:top w:val="nil"/>
          <w:left w:val="nil"/>
          <w:bottom w:val="nil"/>
          <w:right w:val="nil"/>
          <w:between w:val="nil"/>
        </w:pBdr>
        <w:spacing w:after="0" w:line="240" w:lineRule="auto"/>
        <w:rPr>
          <w:b/>
          <w:bCs/>
          <w:color w:val="000000"/>
        </w:rPr>
      </w:pPr>
    </w:p>
    <w:p w14:paraId="202BEA95" w14:textId="1BDA44A4" w:rsidR="00750F1F" w:rsidRPr="00750F1F" w:rsidRDefault="00CD650F" w:rsidP="00750F1F">
      <w:pPr>
        <w:pStyle w:val="ListParagraph"/>
        <w:numPr>
          <w:ilvl w:val="0"/>
          <w:numId w:val="1"/>
        </w:numPr>
        <w:pBdr>
          <w:top w:val="nil"/>
          <w:left w:val="nil"/>
          <w:bottom w:val="nil"/>
          <w:right w:val="nil"/>
          <w:between w:val="nil"/>
        </w:pBdr>
        <w:spacing w:after="0" w:line="240" w:lineRule="auto"/>
        <w:ind w:left="284" w:hanging="284"/>
        <w:rPr>
          <w:b/>
          <w:bCs/>
          <w:color w:val="000000"/>
        </w:rPr>
      </w:pPr>
      <w:r>
        <w:rPr>
          <w:rFonts w:eastAsia="Times New Roman"/>
          <w:b/>
          <w:bCs/>
          <w:color w:val="000000"/>
        </w:rPr>
        <w:t xml:space="preserve"> </w:t>
      </w:r>
      <w:r w:rsidR="00A76243" w:rsidRPr="00C53AE1">
        <w:rPr>
          <w:rFonts w:eastAsia="Times New Roman"/>
          <w:b/>
          <w:bCs/>
          <w:color w:val="000000"/>
        </w:rPr>
        <w:t>Reclosure</w:t>
      </w:r>
      <w:r w:rsidR="005E6C9E" w:rsidRPr="00C53AE1">
        <w:rPr>
          <w:rFonts w:eastAsia="Times New Roman"/>
          <w:b/>
          <w:bCs/>
          <w:color w:val="000000"/>
        </w:rPr>
        <w:t xml:space="preserve"> of material </w:t>
      </w:r>
    </w:p>
    <w:p w14:paraId="1DAE3F17" w14:textId="77777777" w:rsidR="00750F1F" w:rsidRDefault="00750F1F" w:rsidP="00750F1F">
      <w:pPr>
        <w:pBdr>
          <w:top w:val="nil"/>
          <w:left w:val="nil"/>
          <w:bottom w:val="nil"/>
          <w:right w:val="nil"/>
          <w:between w:val="nil"/>
        </w:pBdr>
        <w:spacing w:after="0" w:line="240" w:lineRule="auto"/>
        <w:rPr>
          <w:rFonts w:eastAsia="Times New Roman"/>
          <w:color w:val="000000"/>
        </w:rPr>
      </w:pPr>
    </w:p>
    <w:p w14:paraId="0EFAC1A9" w14:textId="2FC1F3CF" w:rsidR="005E6C9E" w:rsidRPr="00750F1F" w:rsidRDefault="00393E81" w:rsidP="00750F1F">
      <w:pPr>
        <w:pBdr>
          <w:top w:val="nil"/>
          <w:left w:val="nil"/>
          <w:bottom w:val="nil"/>
          <w:right w:val="nil"/>
          <w:between w:val="nil"/>
        </w:pBdr>
        <w:spacing w:after="0" w:line="240" w:lineRule="auto"/>
        <w:rPr>
          <w:b/>
          <w:bCs/>
          <w:color w:val="000000"/>
        </w:rPr>
      </w:pPr>
      <w:r w:rsidRPr="00750F1F">
        <w:rPr>
          <w:rFonts w:eastAsia="Times New Roman"/>
          <w:color w:val="000000"/>
        </w:rPr>
        <w:t xml:space="preserve">Although unlikely, it is possible a person makes a complaint triggering the </w:t>
      </w:r>
      <w:r w:rsidR="005E6C9E" w:rsidRPr="00750F1F">
        <w:rPr>
          <w:rFonts w:eastAsia="Times New Roman"/>
          <w:color w:val="000000"/>
        </w:rPr>
        <w:t>n</w:t>
      </w:r>
      <w:r w:rsidRPr="00750F1F">
        <w:rPr>
          <w:rFonts w:eastAsia="Times New Roman"/>
          <w:color w:val="000000"/>
        </w:rPr>
        <w:t xml:space="preserve">otice and </w:t>
      </w:r>
      <w:r w:rsidR="005E6C9E" w:rsidRPr="00750F1F">
        <w:rPr>
          <w:rFonts w:eastAsia="Times New Roman"/>
          <w:color w:val="000000"/>
        </w:rPr>
        <w:t>t</w:t>
      </w:r>
      <w:r w:rsidRPr="00750F1F">
        <w:rPr>
          <w:rFonts w:eastAsia="Times New Roman"/>
          <w:color w:val="000000"/>
        </w:rPr>
        <w:t xml:space="preserve">akedown </w:t>
      </w:r>
      <w:r w:rsidR="00D63AFC" w:rsidRPr="00750F1F">
        <w:rPr>
          <w:rFonts w:eastAsia="Times New Roman"/>
          <w:color w:val="000000"/>
        </w:rPr>
        <w:t>process</w:t>
      </w:r>
      <w:r w:rsidRPr="00750F1F">
        <w:rPr>
          <w:rFonts w:eastAsia="Times New Roman"/>
          <w:color w:val="000000"/>
        </w:rPr>
        <w:t xml:space="preserve"> and the matter is extreme enough to constitute the reclos</w:t>
      </w:r>
      <w:r w:rsidR="00F4492E" w:rsidRPr="00750F1F">
        <w:rPr>
          <w:rFonts w:eastAsia="Times New Roman"/>
          <w:color w:val="000000"/>
        </w:rPr>
        <w:t>ure</w:t>
      </w:r>
      <w:r w:rsidRPr="00750F1F">
        <w:rPr>
          <w:rFonts w:eastAsia="Times New Roman"/>
          <w:color w:val="000000"/>
        </w:rPr>
        <w:t xml:space="preserve"> of material</w:t>
      </w:r>
      <w:r w:rsidR="00D63AFC" w:rsidRPr="00750F1F">
        <w:rPr>
          <w:rFonts w:eastAsia="Times New Roman"/>
          <w:color w:val="000000"/>
        </w:rPr>
        <w:t xml:space="preserve"> within the entire archive</w:t>
      </w:r>
      <w:r w:rsidRPr="00750F1F">
        <w:rPr>
          <w:rFonts w:eastAsia="Times New Roman"/>
          <w:color w:val="000000"/>
        </w:rPr>
        <w:t>.</w:t>
      </w:r>
      <w:r w:rsidR="00D63AFC" w:rsidRPr="00750F1F">
        <w:rPr>
          <w:rFonts w:eastAsia="Times New Roman"/>
          <w:color w:val="000000"/>
        </w:rPr>
        <w:t xml:space="preserve"> </w:t>
      </w:r>
      <w:r w:rsidR="005E6C9E" w:rsidRPr="00750F1F">
        <w:rPr>
          <w:rFonts w:eastAsia="Times New Roman"/>
          <w:color w:val="000000"/>
        </w:rPr>
        <w:t xml:space="preserve">This might be due to the material containing </w:t>
      </w:r>
      <w:r w:rsidR="005E6C9E" w:rsidRPr="00F012C9">
        <w:t>information about someone who is still alive and continued online access would be unlawful or unfair to them</w:t>
      </w:r>
      <w:r w:rsidR="00F4492E">
        <w:t>,</w:t>
      </w:r>
      <w:r w:rsidR="005E6C9E">
        <w:t xml:space="preserve"> or a change in the law which means legally the material needs to be closed. </w:t>
      </w:r>
      <w:r w:rsidR="00750F1F">
        <w:t>Or</w:t>
      </w:r>
      <w:r w:rsidR="005E6C9E">
        <w:t xml:space="preserve"> the </w:t>
      </w:r>
      <w:r w:rsidR="005E6C9E" w:rsidRPr="00F012C9">
        <w:t xml:space="preserve">material was </w:t>
      </w:r>
      <w:r w:rsidR="005E6C9E">
        <w:t>made accessible</w:t>
      </w:r>
      <w:r w:rsidR="005E6C9E" w:rsidRPr="00F012C9">
        <w:t xml:space="preserve"> in error and removal is required to rectify a mistake</w:t>
      </w:r>
      <w:r w:rsidR="008A7C1E">
        <w:t>.</w:t>
      </w:r>
    </w:p>
    <w:p w14:paraId="36A72AAB" w14:textId="77777777" w:rsidR="005E6C9E" w:rsidRDefault="00950F54" w:rsidP="005E6C9E">
      <w:pPr>
        <w:shd w:val="clear" w:color="auto" w:fill="FFFFFF"/>
        <w:spacing w:before="100" w:beforeAutospacing="1" w:after="100" w:afterAutospacing="1" w:line="240" w:lineRule="auto"/>
        <w:rPr>
          <w:rFonts w:eastAsia="Times New Roman"/>
          <w:color w:val="000000"/>
        </w:rPr>
      </w:pPr>
      <w:r>
        <w:rPr>
          <w:rFonts w:eastAsia="Times New Roman"/>
          <w:color w:val="000000"/>
        </w:rPr>
        <w:t>In the case of a reclosure</w:t>
      </w:r>
      <w:r w:rsidR="00D63AFC">
        <w:rPr>
          <w:rFonts w:eastAsia="Times New Roman"/>
          <w:color w:val="000000"/>
        </w:rPr>
        <w:t>,</w:t>
      </w:r>
      <w:r>
        <w:rPr>
          <w:rFonts w:eastAsia="Times New Roman"/>
          <w:color w:val="000000"/>
        </w:rPr>
        <w:t xml:space="preserve"> release dates must be agreed upon by Archives at NCBS and the complainan</w:t>
      </w:r>
      <w:r w:rsidR="005E6C9E">
        <w:rPr>
          <w:rFonts w:eastAsia="Times New Roman"/>
          <w:color w:val="000000"/>
        </w:rPr>
        <w:t xml:space="preserve">t. The two parties must also negotiate on </w:t>
      </w:r>
      <w:r>
        <w:rPr>
          <w:rFonts w:eastAsia="Times New Roman"/>
          <w:color w:val="000000"/>
        </w:rPr>
        <w:t>whether it will be a full or</w:t>
      </w:r>
      <w:r w:rsidR="00393E81">
        <w:rPr>
          <w:rFonts w:eastAsia="Times New Roman"/>
          <w:color w:val="000000"/>
        </w:rPr>
        <w:t xml:space="preserve"> partial </w:t>
      </w:r>
      <w:r>
        <w:rPr>
          <w:rFonts w:eastAsia="Times New Roman"/>
          <w:color w:val="000000"/>
        </w:rPr>
        <w:t>closure</w:t>
      </w:r>
      <w:r w:rsidR="00393E81">
        <w:rPr>
          <w:rFonts w:eastAsia="Times New Roman"/>
          <w:color w:val="000000"/>
        </w:rPr>
        <w:t xml:space="preserve">. </w:t>
      </w:r>
    </w:p>
    <w:p w14:paraId="59645FBF" w14:textId="1DADEFCB" w:rsidR="00F20395" w:rsidRDefault="00C53AE1" w:rsidP="00C53AE1">
      <w:pPr>
        <w:pStyle w:val="ListParagraph"/>
        <w:numPr>
          <w:ilvl w:val="0"/>
          <w:numId w:val="1"/>
        </w:numPr>
        <w:pBdr>
          <w:top w:val="nil"/>
          <w:left w:val="nil"/>
          <w:bottom w:val="nil"/>
          <w:right w:val="nil"/>
          <w:between w:val="nil"/>
        </w:pBdr>
        <w:spacing w:after="0" w:line="240" w:lineRule="auto"/>
        <w:ind w:left="284" w:hanging="284"/>
        <w:rPr>
          <w:b/>
          <w:bCs/>
          <w:color w:val="000000"/>
        </w:rPr>
      </w:pPr>
      <w:r>
        <w:rPr>
          <w:b/>
          <w:bCs/>
          <w:color w:val="000000"/>
        </w:rPr>
        <w:t xml:space="preserve"> </w:t>
      </w:r>
      <w:r w:rsidR="00F20395" w:rsidRPr="00C53AE1">
        <w:rPr>
          <w:b/>
          <w:bCs/>
          <w:color w:val="000000"/>
        </w:rPr>
        <w:t xml:space="preserve">Statement for on website </w:t>
      </w:r>
    </w:p>
    <w:p w14:paraId="34D50208" w14:textId="77777777" w:rsidR="00C53AE1" w:rsidRPr="00C53AE1" w:rsidRDefault="00C53AE1" w:rsidP="00C53AE1">
      <w:pPr>
        <w:pStyle w:val="ListParagraph"/>
        <w:pBdr>
          <w:top w:val="nil"/>
          <w:left w:val="nil"/>
          <w:bottom w:val="nil"/>
          <w:right w:val="nil"/>
          <w:between w:val="nil"/>
        </w:pBdr>
        <w:spacing w:after="0" w:line="240" w:lineRule="auto"/>
        <w:ind w:left="284"/>
        <w:rPr>
          <w:b/>
          <w:bCs/>
          <w:color w:val="000000"/>
        </w:rPr>
      </w:pPr>
    </w:p>
    <w:p w14:paraId="7AB9FB53" w14:textId="36365F32" w:rsidR="00F20395" w:rsidRPr="00F4492E" w:rsidRDefault="00F4492E" w:rsidP="00F20395">
      <w:pPr>
        <w:pBdr>
          <w:top w:val="nil"/>
          <w:left w:val="nil"/>
          <w:bottom w:val="nil"/>
          <w:right w:val="nil"/>
          <w:between w:val="nil"/>
        </w:pBdr>
        <w:spacing w:after="0" w:line="240" w:lineRule="auto"/>
        <w:rPr>
          <w:color w:val="000000"/>
        </w:rPr>
      </w:pPr>
      <w:r>
        <w:rPr>
          <w:color w:val="000000"/>
        </w:rPr>
        <w:t>Notice and takedown policy</w:t>
      </w:r>
    </w:p>
    <w:p w14:paraId="099FDD1A" w14:textId="77777777" w:rsidR="00F4492E" w:rsidRDefault="00F4492E" w:rsidP="00F20395">
      <w:pPr>
        <w:pBdr>
          <w:top w:val="nil"/>
          <w:left w:val="nil"/>
          <w:bottom w:val="nil"/>
          <w:right w:val="nil"/>
          <w:between w:val="nil"/>
        </w:pBdr>
        <w:spacing w:after="0" w:line="240" w:lineRule="auto"/>
        <w:rPr>
          <w:b/>
          <w:bCs/>
          <w:color w:val="000000"/>
        </w:rPr>
      </w:pPr>
    </w:p>
    <w:p w14:paraId="4BEB904B" w14:textId="77777777" w:rsidR="00F20395" w:rsidRPr="006D0282" w:rsidRDefault="00F20395" w:rsidP="00F20395">
      <w:pPr>
        <w:pBdr>
          <w:top w:val="nil"/>
          <w:left w:val="nil"/>
          <w:bottom w:val="nil"/>
          <w:right w:val="nil"/>
          <w:between w:val="nil"/>
        </w:pBdr>
        <w:spacing w:after="0" w:line="240" w:lineRule="auto"/>
        <w:rPr>
          <w:color w:val="000000"/>
        </w:rPr>
      </w:pPr>
      <w:r w:rsidRPr="006D0282">
        <w:rPr>
          <w:color w:val="000000"/>
        </w:rPr>
        <w:t xml:space="preserve">How to request the removal of </w:t>
      </w:r>
      <w:r>
        <w:rPr>
          <w:color w:val="000000"/>
        </w:rPr>
        <w:t>material f</w:t>
      </w:r>
      <w:r w:rsidRPr="006D0282">
        <w:rPr>
          <w:color w:val="000000"/>
        </w:rPr>
        <w:t>rom the Archives at NCBS website</w:t>
      </w:r>
    </w:p>
    <w:p w14:paraId="270B71E0" w14:textId="77777777" w:rsidR="00F20395" w:rsidRPr="003742E4" w:rsidRDefault="00F20395" w:rsidP="00F20395">
      <w:pPr>
        <w:pBdr>
          <w:top w:val="nil"/>
          <w:left w:val="nil"/>
          <w:bottom w:val="nil"/>
          <w:right w:val="nil"/>
          <w:between w:val="nil"/>
        </w:pBdr>
        <w:spacing w:after="0" w:line="240" w:lineRule="auto"/>
        <w:rPr>
          <w:b/>
          <w:bCs/>
          <w:color w:val="000000"/>
        </w:rPr>
      </w:pPr>
    </w:p>
    <w:p w14:paraId="7D1C760A" w14:textId="77777777" w:rsidR="00F20395" w:rsidRDefault="00F20395" w:rsidP="00F20395">
      <w:pPr>
        <w:pBdr>
          <w:top w:val="nil"/>
          <w:left w:val="nil"/>
          <w:bottom w:val="nil"/>
          <w:right w:val="nil"/>
          <w:between w:val="nil"/>
        </w:pBdr>
        <w:spacing w:after="0" w:line="240" w:lineRule="auto"/>
        <w:rPr>
          <w:color w:val="000000"/>
          <w:shd w:val="clear" w:color="auto" w:fill="FFFFFF"/>
        </w:rPr>
      </w:pPr>
      <w:r>
        <w:rPr>
          <w:color w:val="000000"/>
        </w:rPr>
        <w:t xml:space="preserve">Archives at NCBS is committed to making archival material available online. This is done in good faith and every effort has </w:t>
      </w:r>
      <w:r w:rsidRPr="00E17386">
        <w:rPr>
          <w:color w:val="000000"/>
        </w:rPr>
        <w:t xml:space="preserve">been made to identify and contact the rights holders. However, sometimes </w:t>
      </w:r>
      <w:r w:rsidRPr="00E17386">
        <w:rPr>
          <w:color w:val="000000"/>
        </w:rPr>
        <w:lastRenderedPageBreak/>
        <w:t xml:space="preserve">material published online may </w:t>
      </w:r>
      <w:r w:rsidRPr="00E17386">
        <w:rPr>
          <w:color w:val="000000"/>
          <w:shd w:val="clear" w:color="auto" w:fill="FFFFFF"/>
        </w:rPr>
        <w:t>be in breach of copyright laws, contain sensitive personal data, or include content that may be regarded as obscene or defamatory.</w:t>
      </w:r>
    </w:p>
    <w:p w14:paraId="47E94B67" w14:textId="77777777" w:rsidR="00F20395" w:rsidRDefault="00F20395" w:rsidP="00F20395">
      <w:pPr>
        <w:pBdr>
          <w:top w:val="nil"/>
          <w:left w:val="nil"/>
          <w:bottom w:val="nil"/>
          <w:right w:val="nil"/>
          <w:between w:val="nil"/>
        </w:pBdr>
        <w:spacing w:after="0" w:line="240" w:lineRule="auto"/>
        <w:rPr>
          <w:color w:val="000000"/>
          <w:shd w:val="clear" w:color="auto" w:fill="FFFFFF"/>
        </w:rPr>
      </w:pPr>
    </w:p>
    <w:p w14:paraId="5BFE8C4D" w14:textId="77777777" w:rsidR="00F20395" w:rsidRPr="003E6862" w:rsidRDefault="00F20395" w:rsidP="00F20395">
      <w:pPr>
        <w:pBdr>
          <w:top w:val="nil"/>
          <w:left w:val="nil"/>
          <w:bottom w:val="nil"/>
          <w:right w:val="nil"/>
          <w:between w:val="nil"/>
        </w:pBdr>
        <w:spacing w:after="0" w:line="240" w:lineRule="auto"/>
        <w:rPr>
          <w:b/>
          <w:bCs/>
          <w:color w:val="000000" w:themeColor="text1"/>
        </w:rPr>
      </w:pPr>
      <w:r w:rsidRPr="003E6862">
        <w:rPr>
          <w:color w:val="000000" w:themeColor="text1"/>
          <w:shd w:val="clear" w:color="auto" w:fill="FFFFFF"/>
        </w:rPr>
        <w:t>If you are concerned you have found</w:t>
      </w:r>
      <w:r>
        <w:rPr>
          <w:color w:val="000000" w:themeColor="text1"/>
          <w:shd w:val="clear" w:color="auto" w:fill="FFFFFF"/>
        </w:rPr>
        <w:t xml:space="preserve"> material </w:t>
      </w:r>
      <w:r w:rsidRPr="003E6862">
        <w:rPr>
          <w:color w:val="000000" w:themeColor="text1"/>
          <w:shd w:val="clear" w:color="auto" w:fill="FFFFFF"/>
        </w:rPr>
        <w:t xml:space="preserve">about you on our website for which you have not given permission, is obscene </w:t>
      </w:r>
      <w:r>
        <w:rPr>
          <w:color w:val="000000" w:themeColor="text1"/>
          <w:shd w:val="clear" w:color="auto" w:fill="FFFFFF"/>
        </w:rPr>
        <w:t>or</w:t>
      </w:r>
      <w:r w:rsidRPr="003E6862">
        <w:rPr>
          <w:color w:val="000000" w:themeColor="text1"/>
          <w:shd w:val="clear" w:color="auto" w:fill="FFFFFF"/>
        </w:rPr>
        <w:t xml:space="preserve"> defamatory and in terms of copyright law is not covered by a limitation or exception</w:t>
      </w:r>
      <w:r>
        <w:rPr>
          <w:color w:val="000000" w:themeColor="text1"/>
          <w:shd w:val="clear" w:color="auto" w:fill="FFFFFF"/>
        </w:rPr>
        <w:t xml:space="preserve">, please contact us with the following information </w:t>
      </w:r>
    </w:p>
    <w:p w14:paraId="4F5956AA" w14:textId="77777777" w:rsidR="00F20395" w:rsidRDefault="00F20395" w:rsidP="00F20395">
      <w:pPr>
        <w:pBdr>
          <w:top w:val="nil"/>
          <w:left w:val="nil"/>
          <w:bottom w:val="nil"/>
          <w:right w:val="nil"/>
          <w:between w:val="nil"/>
        </w:pBdr>
        <w:spacing w:after="0" w:line="240" w:lineRule="auto"/>
        <w:rPr>
          <w:b/>
          <w:bCs/>
          <w:color w:val="000000"/>
        </w:rPr>
      </w:pPr>
    </w:p>
    <w:p w14:paraId="315E98CB" w14:textId="77777777" w:rsidR="00F20395" w:rsidRPr="008C2DFA" w:rsidRDefault="00F20395" w:rsidP="00F20395">
      <w:pPr>
        <w:numPr>
          <w:ilvl w:val="0"/>
          <w:numId w:val="2"/>
        </w:numPr>
        <w:shd w:val="clear" w:color="auto" w:fill="FFFFFF"/>
        <w:spacing w:after="0" w:line="240" w:lineRule="auto"/>
        <w:ind w:left="709"/>
        <w:textAlignment w:val="baseline"/>
        <w:rPr>
          <w:rFonts w:eastAsia="Times New Roman"/>
          <w:color w:val="000000" w:themeColor="text1"/>
        </w:rPr>
      </w:pPr>
      <w:r w:rsidRPr="008C2DFA">
        <w:rPr>
          <w:rFonts w:eastAsia="Times New Roman"/>
          <w:color w:val="000000" w:themeColor="text1"/>
        </w:rPr>
        <w:t>Your contact details</w:t>
      </w:r>
      <w:r w:rsidRPr="003E6862">
        <w:rPr>
          <w:rFonts w:eastAsia="Times New Roman"/>
          <w:color w:val="000000" w:themeColor="text1"/>
        </w:rPr>
        <w:t xml:space="preserve"> (including email address and phone)</w:t>
      </w:r>
    </w:p>
    <w:p w14:paraId="15185FD7" w14:textId="77777777" w:rsidR="00F20395" w:rsidRPr="00655725" w:rsidRDefault="00F20395" w:rsidP="00F20395">
      <w:pPr>
        <w:numPr>
          <w:ilvl w:val="0"/>
          <w:numId w:val="2"/>
        </w:numPr>
        <w:shd w:val="clear" w:color="auto" w:fill="FFFFFF"/>
        <w:spacing w:after="0" w:line="240" w:lineRule="auto"/>
        <w:ind w:left="709"/>
        <w:rPr>
          <w:rFonts w:eastAsia="Times New Roman"/>
          <w:color w:val="000000" w:themeColor="text1"/>
        </w:rPr>
      </w:pPr>
      <w:r w:rsidRPr="00655725">
        <w:rPr>
          <w:rFonts w:eastAsia="Times New Roman"/>
          <w:color w:val="000000" w:themeColor="text1"/>
        </w:rPr>
        <w:t>Details that describe the material (title, collection name, number of items, etc.)</w:t>
      </w:r>
    </w:p>
    <w:p w14:paraId="63218881" w14:textId="77777777" w:rsidR="00F20395" w:rsidRPr="003E6862" w:rsidRDefault="00F20395" w:rsidP="00F20395">
      <w:pPr>
        <w:numPr>
          <w:ilvl w:val="0"/>
          <w:numId w:val="2"/>
        </w:numPr>
        <w:shd w:val="clear" w:color="auto" w:fill="FFFFFF"/>
        <w:spacing w:after="0" w:line="240" w:lineRule="auto"/>
        <w:ind w:left="709"/>
        <w:textAlignment w:val="baseline"/>
        <w:rPr>
          <w:rFonts w:eastAsia="Times New Roman"/>
          <w:color w:val="000000" w:themeColor="text1"/>
        </w:rPr>
      </w:pPr>
      <w:r w:rsidRPr="008C2DFA">
        <w:rPr>
          <w:rFonts w:eastAsia="Times New Roman"/>
          <w:color w:val="000000" w:themeColor="text1"/>
        </w:rPr>
        <w:t xml:space="preserve">The exact and full </w:t>
      </w:r>
      <w:r w:rsidRPr="003E6862">
        <w:rPr>
          <w:rFonts w:eastAsia="Times New Roman"/>
          <w:color w:val="000000" w:themeColor="text1"/>
        </w:rPr>
        <w:t>URL</w:t>
      </w:r>
      <w:r w:rsidRPr="008C2DFA">
        <w:rPr>
          <w:rFonts w:eastAsia="Times New Roman"/>
          <w:color w:val="000000" w:themeColor="text1"/>
        </w:rPr>
        <w:t xml:space="preserve"> where you found the material</w:t>
      </w:r>
    </w:p>
    <w:p w14:paraId="187EAF0F" w14:textId="77777777" w:rsidR="00F20395" w:rsidRPr="008C2DFA" w:rsidRDefault="00F20395" w:rsidP="00F20395">
      <w:pPr>
        <w:numPr>
          <w:ilvl w:val="0"/>
          <w:numId w:val="2"/>
        </w:numPr>
        <w:shd w:val="clear" w:color="auto" w:fill="FFFFFF"/>
        <w:spacing w:after="0" w:line="240" w:lineRule="auto"/>
        <w:ind w:left="709"/>
        <w:textAlignment w:val="baseline"/>
        <w:rPr>
          <w:rFonts w:eastAsia="Times New Roman"/>
          <w:color w:val="000000" w:themeColor="text1"/>
        </w:rPr>
      </w:pPr>
      <w:r w:rsidRPr="008C2DFA">
        <w:rPr>
          <w:rFonts w:eastAsia="Times New Roman"/>
          <w:color w:val="000000" w:themeColor="text1"/>
        </w:rPr>
        <w:t>The reason for your request including but not limited to copyright law, privacy laws, data protection, obscenity, defamation etc.</w:t>
      </w:r>
    </w:p>
    <w:p w14:paraId="4F0E7F08" w14:textId="77777777" w:rsidR="00F20395" w:rsidRDefault="00F20395" w:rsidP="00F20395">
      <w:pPr>
        <w:numPr>
          <w:ilvl w:val="0"/>
          <w:numId w:val="2"/>
        </w:numPr>
        <w:shd w:val="clear" w:color="auto" w:fill="FFFFFF"/>
        <w:spacing w:after="0" w:line="240" w:lineRule="auto"/>
        <w:ind w:left="709"/>
        <w:textAlignment w:val="baseline"/>
        <w:rPr>
          <w:rFonts w:eastAsia="Times New Roman"/>
          <w:color w:val="000000" w:themeColor="text1"/>
        </w:rPr>
      </w:pPr>
      <w:r w:rsidRPr="00950F54">
        <w:rPr>
          <w:rFonts w:eastAsia="Times New Roman"/>
          <w:color w:val="000000" w:themeColor="text1"/>
        </w:rPr>
        <w:t>If the request relates to copyright, provide proof that you are the rights holder</w:t>
      </w:r>
    </w:p>
    <w:p w14:paraId="7A2C32AA" w14:textId="77777777" w:rsidR="00F20395" w:rsidRPr="00950F54" w:rsidRDefault="00F20395" w:rsidP="00F20395">
      <w:pPr>
        <w:shd w:val="clear" w:color="auto" w:fill="FFFFFF"/>
        <w:spacing w:after="0" w:line="240" w:lineRule="auto"/>
        <w:ind w:left="709"/>
        <w:textAlignment w:val="baseline"/>
        <w:rPr>
          <w:rFonts w:eastAsia="Times New Roman"/>
          <w:color w:val="000000" w:themeColor="text1"/>
        </w:rPr>
      </w:pPr>
    </w:p>
    <w:p w14:paraId="0CA09F05" w14:textId="77777777" w:rsidR="00F20395" w:rsidRDefault="00F20395" w:rsidP="00F20395">
      <w:pPr>
        <w:shd w:val="clear" w:color="auto" w:fill="FFFFFF"/>
        <w:spacing w:after="0" w:line="240" w:lineRule="auto"/>
        <w:textAlignment w:val="baseline"/>
        <w:rPr>
          <w:rFonts w:eastAsia="Times New Roman"/>
          <w:color w:val="000000" w:themeColor="text1"/>
        </w:rPr>
      </w:pPr>
      <w:r>
        <w:rPr>
          <w:rFonts w:eastAsia="Times New Roman"/>
          <w:color w:val="000000" w:themeColor="text1"/>
        </w:rPr>
        <w:t>Contact Details:</w:t>
      </w:r>
    </w:p>
    <w:p w14:paraId="09012EA7" w14:textId="77777777" w:rsidR="00F20395" w:rsidRDefault="00F20395" w:rsidP="00F20395">
      <w:pPr>
        <w:shd w:val="clear" w:color="auto" w:fill="FFFFFF"/>
        <w:spacing w:after="0" w:line="240" w:lineRule="auto"/>
        <w:textAlignment w:val="baseline"/>
        <w:rPr>
          <w:color w:val="111111"/>
          <w:shd w:val="clear" w:color="auto" w:fill="FFFFFF"/>
        </w:rPr>
      </w:pPr>
      <w:r>
        <w:br/>
      </w:r>
      <w:r w:rsidRPr="003E6862">
        <w:rPr>
          <w:color w:val="111111"/>
          <w:shd w:val="clear" w:color="auto" w:fill="FFFFFF"/>
        </w:rPr>
        <w:t>Archives, National Centre for Biological Sciences (NCBS)</w:t>
      </w:r>
      <w:r w:rsidRPr="003E6862">
        <w:rPr>
          <w:color w:val="111111"/>
        </w:rPr>
        <w:br/>
      </w:r>
      <w:r w:rsidRPr="003E6862">
        <w:rPr>
          <w:color w:val="111111"/>
          <w:shd w:val="clear" w:color="auto" w:fill="FFFFFF"/>
        </w:rPr>
        <w:t>Tata Institute of Fundamental Research</w:t>
      </w:r>
      <w:r w:rsidRPr="003E6862">
        <w:rPr>
          <w:color w:val="111111"/>
        </w:rPr>
        <w:br/>
      </w:r>
      <w:r w:rsidRPr="003E6862">
        <w:rPr>
          <w:color w:val="111111"/>
          <w:shd w:val="clear" w:color="auto" w:fill="FFFFFF"/>
        </w:rPr>
        <w:t>GKVK Campus, Bellary Road, Bangalore - 560065</w:t>
      </w:r>
      <w:r w:rsidRPr="003E6862">
        <w:rPr>
          <w:color w:val="111111"/>
        </w:rPr>
        <w:br/>
      </w:r>
      <w:r w:rsidRPr="003E6862">
        <w:rPr>
          <w:color w:val="111111"/>
          <w:shd w:val="clear" w:color="auto" w:fill="FFFFFF"/>
        </w:rPr>
        <w:t>Karnataka, India.</w:t>
      </w:r>
      <w:r w:rsidRPr="003E6862">
        <w:rPr>
          <w:color w:val="111111"/>
        </w:rPr>
        <w:br/>
      </w:r>
      <w:r w:rsidRPr="003E6862">
        <w:rPr>
          <w:color w:val="111111"/>
          <w:shd w:val="clear" w:color="auto" w:fill="FFFFFF"/>
        </w:rPr>
        <w:t>Ph</w:t>
      </w:r>
      <w:r>
        <w:rPr>
          <w:color w:val="111111"/>
          <w:shd w:val="clear" w:color="auto" w:fill="FFFFFF"/>
        </w:rPr>
        <w:t>one</w:t>
      </w:r>
      <w:r w:rsidRPr="003E6862">
        <w:rPr>
          <w:color w:val="111111"/>
          <w:shd w:val="clear" w:color="auto" w:fill="FFFFFF"/>
        </w:rPr>
        <w:t>: +91-80-2366-6011</w:t>
      </w:r>
    </w:p>
    <w:p w14:paraId="0D677A1D" w14:textId="77777777" w:rsidR="00F20395" w:rsidRDefault="00F20395" w:rsidP="00F20395">
      <w:pPr>
        <w:shd w:val="clear" w:color="auto" w:fill="FFFFFF"/>
        <w:spacing w:after="0" w:line="240" w:lineRule="auto"/>
        <w:textAlignment w:val="baseline"/>
        <w:rPr>
          <w:color w:val="111111"/>
          <w:shd w:val="clear" w:color="auto" w:fill="FFFFFF"/>
        </w:rPr>
      </w:pPr>
      <w:r>
        <w:rPr>
          <w:color w:val="111111"/>
          <w:shd w:val="clear" w:color="auto" w:fill="FFFFFF"/>
        </w:rPr>
        <w:t xml:space="preserve">Email: </w:t>
      </w:r>
      <w:hyperlink r:id="rId5" w:history="1">
        <w:r w:rsidRPr="00B54300">
          <w:rPr>
            <w:rStyle w:val="Hyperlink"/>
            <w:shd w:val="clear" w:color="auto" w:fill="FFFFFF"/>
          </w:rPr>
          <w:t>archive@ncbs.res.in</w:t>
        </w:r>
      </w:hyperlink>
    </w:p>
    <w:p w14:paraId="55C45BE9" w14:textId="77777777" w:rsidR="00F20395" w:rsidRDefault="00F20395" w:rsidP="00F20395">
      <w:pPr>
        <w:shd w:val="clear" w:color="auto" w:fill="FFFFFF"/>
        <w:spacing w:after="0" w:line="240" w:lineRule="auto"/>
        <w:textAlignment w:val="baseline"/>
        <w:rPr>
          <w:color w:val="111111"/>
          <w:shd w:val="clear" w:color="auto" w:fill="FFFFFF"/>
        </w:rPr>
      </w:pPr>
    </w:p>
    <w:p w14:paraId="6906EE61" w14:textId="77777777" w:rsidR="00F20395" w:rsidRDefault="00F20395" w:rsidP="00F20395">
      <w:pPr>
        <w:rPr>
          <w:rFonts w:eastAsia="Times New Roman"/>
          <w:color w:val="000000" w:themeColor="text1"/>
        </w:rPr>
      </w:pPr>
      <w:r>
        <w:rPr>
          <w:rFonts w:eastAsia="Times New Roman"/>
          <w:color w:val="000000" w:themeColor="text1"/>
        </w:rPr>
        <w:t>Notice and Takedown policy</w:t>
      </w:r>
    </w:p>
    <w:p w14:paraId="49F3FF4A" w14:textId="6BAAA6BD" w:rsidR="00F20395" w:rsidRDefault="00F20395" w:rsidP="00F20395">
      <w:pPr>
        <w:rPr>
          <w:rFonts w:eastAsia="Times New Roman"/>
          <w:color w:val="000000" w:themeColor="text1"/>
        </w:rPr>
      </w:pPr>
      <w:r>
        <w:rPr>
          <w:rFonts w:eastAsia="Times New Roman"/>
          <w:color w:val="000000" w:themeColor="text1"/>
        </w:rPr>
        <w:t>Once you have contacted us, we will implement our “Notice and Takedown</w:t>
      </w:r>
      <w:r w:rsidR="00730B35">
        <w:rPr>
          <w:rFonts w:eastAsia="Times New Roman"/>
          <w:color w:val="000000" w:themeColor="text1"/>
        </w:rPr>
        <w:t>”</w:t>
      </w:r>
      <w:r>
        <w:rPr>
          <w:rFonts w:eastAsia="Times New Roman"/>
          <w:color w:val="000000" w:themeColor="text1"/>
        </w:rPr>
        <w:t xml:space="preserve"> policy as follows</w:t>
      </w:r>
    </w:p>
    <w:p w14:paraId="3095A3FC" w14:textId="77777777" w:rsidR="00F20395" w:rsidRDefault="00F20395" w:rsidP="00F20395">
      <w:pPr>
        <w:pStyle w:val="ListParagraph"/>
        <w:numPr>
          <w:ilvl w:val="0"/>
          <w:numId w:val="5"/>
        </w:numPr>
        <w:rPr>
          <w:rFonts w:eastAsia="Times New Roman"/>
          <w:color w:val="000000" w:themeColor="text1"/>
        </w:rPr>
      </w:pPr>
      <w:r>
        <w:rPr>
          <w:rFonts w:eastAsia="Times New Roman"/>
          <w:color w:val="000000" w:themeColor="text1"/>
        </w:rPr>
        <w:t>We (Archives at NCBS) will acknowledge your complaint by sending you a receipt by email or letter and make an initial assessment of the validity and plausibility of the complaint.</w:t>
      </w:r>
    </w:p>
    <w:p w14:paraId="77C0B5D0" w14:textId="77777777" w:rsidR="00F20395" w:rsidRDefault="00F20395" w:rsidP="00F20395">
      <w:pPr>
        <w:pStyle w:val="ListParagraph"/>
        <w:numPr>
          <w:ilvl w:val="0"/>
          <w:numId w:val="5"/>
        </w:numPr>
        <w:rPr>
          <w:rFonts w:eastAsia="Times New Roman"/>
          <w:color w:val="000000" w:themeColor="text1"/>
        </w:rPr>
      </w:pPr>
      <w:r>
        <w:rPr>
          <w:rFonts w:eastAsia="Times New Roman"/>
          <w:color w:val="000000" w:themeColor="text1"/>
        </w:rPr>
        <w:t>Upon the receiving of a valid complaint the material will be removed from the Archives at NCBS website pending an agreed solution</w:t>
      </w:r>
    </w:p>
    <w:p w14:paraId="370BE067" w14:textId="77777777" w:rsidR="00F20395" w:rsidRDefault="00F20395" w:rsidP="00F20395">
      <w:pPr>
        <w:pStyle w:val="ListParagraph"/>
        <w:numPr>
          <w:ilvl w:val="0"/>
          <w:numId w:val="5"/>
        </w:numPr>
        <w:rPr>
          <w:rFonts w:eastAsia="Times New Roman"/>
          <w:color w:val="000000" w:themeColor="text1"/>
        </w:rPr>
      </w:pPr>
      <w:r>
        <w:rPr>
          <w:rFonts w:eastAsia="Times New Roman"/>
          <w:color w:val="000000" w:themeColor="text1"/>
        </w:rPr>
        <w:t>If necessary and possible, we will contact the contributor who deposited the material and inform them their donated material is the subject of a complaint and the specifics of the allegation</w:t>
      </w:r>
    </w:p>
    <w:p w14:paraId="5DACA25D" w14:textId="77777777" w:rsidR="00F20395" w:rsidRPr="00060E28" w:rsidRDefault="00F20395" w:rsidP="00F20395">
      <w:pPr>
        <w:pStyle w:val="ListParagraph"/>
        <w:numPr>
          <w:ilvl w:val="0"/>
          <w:numId w:val="5"/>
        </w:numPr>
        <w:rPr>
          <w:rFonts w:eastAsia="Times New Roman"/>
          <w:color w:val="000000" w:themeColor="text1"/>
        </w:rPr>
      </w:pPr>
      <w:r w:rsidRPr="00060E28">
        <w:rPr>
          <w:rFonts w:eastAsia="Times New Roman"/>
          <w:color w:val="000000" w:themeColor="text1"/>
        </w:rPr>
        <w:t>We will make the effort to ensure the issue is swiftly resolved and all involved in the dispute are satisfied with one of the following</w:t>
      </w:r>
      <w:r>
        <w:rPr>
          <w:rFonts w:eastAsia="Times New Roman"/>
          <w:color w:val="000000" w:themeColor="text1"/>
        </w:rPr>
        <w:t xml:space="preserve"> </w:t>
      </w:r>
      <w:r w:rsidRPr="00060E28">
        <w:rPr>
          <w:rFonts w:eastAsia="Times New Roman"/>
          <w:color w:val="000000" w:themeColor="text1"/>
        </w:rPr>
        <w:t>outcomes:</w:t>
      </w:r>
    </w:p>
    <w:p w14:paraId="42DDA68C" w14:textId="77777777" w:rsidR="00F20395" w:rsidRDefault="00F20395" w:rsidP="00F20395">
      <w:pPr>
        <w:pStyle w:val="ListParagraph"/>
        <w:numPr>
          <w:ilvl w:val="1"/>
          <w:numId w:val="5"/>
        </w:numPr>
        <w:rPr>
          <w:rFonts w:eastAsia="Times New Roman"/>
          <w:color w:val="000000" w:themeColor="text1"/>
        </w:rPr>
      </w:pPr>
      <w:r>
        <w:rPr>
          <w:rFonts w:eastAsia="Times New Roman"/>
          <w:color w:val="000000" w:themeColor="text1"/>
        </w:rPr>
        <w:t>The material is returned to the Archives at NCBS website unchanged</w:t>
      </w:r>
    </w:p>
    <w:p w14:paraId="4C4B1DC1" w14:textId="77777777" w:rsidR="00F20395" w:rsidRDefault="00F20395" w:rsidP="00F20395">
      <w:pPr>
        <w:pStyle w:val="ListParagraph"/>
        <w:numPr>
          <w:ilvl w:val="1"/>
          <w:numId w:val="5"/>
        </w:numPr>
        <w:rPr>
          <w:rFonts w:eastAsia="Times New Roman"/>
          <w:color w:val="000000" w:themeColor="text1"/>
        </w:rPr>
      </w:pPr>
      <w:r>
        <w:rPr>
          <w:rFonts w:eastAsia="Times New Roman"/>
          <w:color w:val="000000" w:themeColor="text1"/>
        </w:rPr>
        <w:t>The material is replaced on the Archives at NCBS website changes</w:t>
      </w:r>
    </w:p>
    <w:p w14:paraId="78C1473B" w14:textId="0CCB8777" w:rsidR="00F20395" w:rsidRPr="00D610E8" w:rsidRDefault="00F20395" w:rsidP="00F20395">
      <w:pPr>
        <w:pStyle w:val="ListParagraph"/>
        <w:numPr>
          <w:ilvl w:val="1"/>
          <w:numId w:val="5"/>
        </w:numPr>
        <w:rPr>
          <w:rFonts w:eastAsia="Times New Roman"/>
          <w:color w:val="000000" w:themeColor="text1"/>
        </w:rPr>
      </w:pPr>
      <w:r w:rsidRPr="00D610E8">
        <w:rPr>
          <w:rFonts w:eastAsia="Times New Roman"/>
          <w:color w:val="000000" w:themeColor="text1"/>
        </w:rPr>
        <w:t xml:space="preserve">The material is permanently removed from the Archives at NCBS website </w:t>
      </w:r>
    </w:p>
    <w:p w14:paraId="29D6A5A2" w14:textId="77777777" w:rsidR="00F20395" w:rsidRPr="00D610E8" w:rsidRDefault="00F20395" w:rsidP="00F20395">
      <w:pPr>
        <w:rPr>
          <w:rFonts w:eastAsia="Times New Roman"/>
          <w:color w:val="000000" w:themeColor="text1"/>
        </w:rPr>
      </w:pPr>
      <w:r w:rsidRPr="006D0282">
        <w:rPr>
          <w:rFonts w:eastAsia="Times New Roman"/>
          <w:color w:val="000000"/>
        </w:rPr>
        <w:t xml:space="preserve">If the </w:t>
      </w:r>
      <w:r w:rsidRPr="00D610E8">
        <w:rPr>
          <w:rFonts w:eastAsia="Times New Roman"/>
          <w:color w:val="000000"/>
        </w:rPr>
        <w:t>complainant</w:t>
      </w:r>
      <w:r w:rsidRPr="006D0282">
        <w:rPr>
          <w:rFonts w:eastAsia="Times New Roman"/>
          <w:color w:val="000000"/>
        </w:rPr>
        <w:t xml:space="preserve"> and the </w:t>
      </w:r>
      <w:r w:rsidRPr="00D610E8">
        <w:rPr>
          <w:rFonts w:eastAsia="Times New Roman"/>
          <w:color w:val="000000"/>
        </w:rPr>
        <w:t>other parties</w:t>
      </w:r>
      <w:r w:rsidRPr="006D0282">
        <w:rPr>
          <w:rFonts w:eastAsia="Times New Roman"/>
          <w:color w:val="000000"/>
        </w:rPr>
        <w:t xml:space="preserve"> are unable to agree a solution, the material will remain unavailable </w:t>
      </w:r>
      <w:r w:rsidRPr="00D610E8">
        <w:rPr>
          <w:rFonts w:eastAsia="Times New Roman"/>
          <w:color w:val="000000"/>
        </w:rPr>
        <w:t xml:space="preserve">on the Archives at NCBS website </w:t>
      </w:r>
      <w:r w:rsidRPr="006D0282">
        <w:rPr>
          <w:rFonts w:eastAsia="Times New Roman"/>
          <w:color w:val="000000"/>
        </w:rPr>
        <w:t>until a time when a resolution has been reached.</w:t>
      </w:r>
    </w:p>
    <w:p w14:paraId="66C03CE3" w14:textId="1BC18600" w:rsidR="00A76243" w:rsidRDefault="00F4492E" w:rsidP="00393E81">
      <w:pPr>
        <w:shd w:val="clear" w:color="auto" w:fill="FFFFFF"/>
        <w:spacing w:before="100" w:beforeAutospacing="1" w:after="100" w:afterAutospacing="1" w:line="240" w:lineRule="auto"/>
        <w:rPr>
          <w:rFonts w:eastAsia="Times New Roman"/>
          <w:b/>
          <w:bCs/>
          <w:color w:val="000000"/>
        </w:rPr>
      </w:pPr>
      <w:r>
        <w:rPr>
          <w:rFonts w:eastAsia="Times New Roman"/>
          <w:b/>
          <w:bCs/>
          <w:color w:val="000000"/>
        </w:rPr>
        <w:t>9. List of other takedown policies</w:t>
      </w:r>
    </w:p>
    <w:p w14:paraId="6A3E765E" w14:textId="0A3D810F" w:rsidR="00F4492E" w:rsidRPr="00190085" w:rsidRDefault="00000000" w:rsidP="00190085">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6" w:history="1">
        <w:r w:rsidR="00F4492E" w:rsidRPr="00190085">
          <w:rPr>
            <w:rStyle w:val="Hyperlink"/>
            <w:rFonts w:eastAsia="Times New Roman"/>
          </w:rPr>
          <w:t>https://www.nationalarchives.gov.uk/legal/takedown-and-reclosure-policy/</w:t>
        </w:r>
      </w:hyperlink>
    </w:p>
    <w:p w14:paraId="7DBEB415" w14:textId="2076E161" w:rsidR="00F4492E" w:rsidRPr="00190085" w:rsidRDefault="00000000" w:rsidP="00190085">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7" w:history="1">
        <w:r w:rsidR="00F4492E" w:rsidRPr="00190085">
          <w:rPr>
            <w:rStyle w:val="Hyperlink"/>
            <w:rFonts w:eastAsia="Times New Roman"/>
          </w:rPr>
          <w:t>https://www.bl.uk/about-us/terms-and-conditions/websites-and-online-services</w:t>
        </w:r>
      </w:hyperlink>
    </w:p>
    <w:p w14:paraId="4C9BC094" w14:textId="7AFB1696" w:rsidR="00F4492E" w:rsidRDefault="00000000" w:rsidP="00190085">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8" w:history="1">
        <w:r w:rsidR="00190085" w:rsidRPr="00190085">
          <w:rPr>
            <w:rStyle w:val="Hyperlink"/>
            <w:rFonts w:eastAsia="Times New Roman"/>
          </w:rPr>
          <w:t>https://www.ucl.ac.uk/library/ucl-digital-collections/takedown-policy</w:t>
        </w:r>
      </w:hyperlink>
    </w:p>
    <w:p w14:paraId="1F96A5DB" w14:textId="2B9E186B" w:rsidR="009D36F1" w:rsidRPr="009D36F1" w:rsidRDefault="00000000" w:rsidP="009D36F1">
      <w:pPr>
        <w:pStyle w:val="ListParagraph"/>
        <w:numPr>
          <w:ilvl w:val="0"/>
          <w:numId w:val="15"/>
        </w:numPr>
        <w:shd w:val="clear" w:color="auto" w:fill="FFFFFF"/>
        <w:spacing w:before="100" w:beforeAutospacing="1" w:after="100" w:afterAutospacing="1" w:line="240" w:lineRule="auto"/>
        <w:ind w:left="709"/>
        <w:rPr>
          <w:rStyle w:val="Hyperlink"/>
          <w:rFonts w:eastAsia="Times New Roman"/>
          <w:color w:val="000000"/>
          <w:u w:val="none"/>
        </w:rPr>
      </w:pPr>
      <w:hyperlink r:id="rId9" w:history="1">
        <w:r w:rsidR="00190085" w:rsidRPr="000F2547">
          <w:rPr>
            <w:rStyle w:val="Hyperlink"/>
            <w:rFonts w:eastAsia="Times New Roman"/>
          </w:rPr>
          <w:t>https://meap.library.ucla.edu/about/take-down-requests/</w:t>
        </w:r>
      </w:hyperlink>
    </w:p>
    <w:p w14:paraId="6B1B7BEA" w14:textId="02A2D4EC" w:rsidR="009D36F1" w:rsidRDefault="00000000" w:rsidP="009D36F1">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10" w:history="1">
        <w:r w:rsidR="009D36F1" w:rsidRPr="000F2547">
          <w:rPr>
            <w:rStyle w:val="Hyperlink"/>
            <w:rFonts w:eastAsia="Times New Roman"/>
          </w:rPr>
          <w:t>https://library.stanford.edu/using/special-policies/takedown-protocol-sensitive-information-stanford-digital-collections</w:t>
        </w:r>
      </w:hyperlink>
    </w:p>
    <w:p w14:paraId="705ABD26" w14:textId="7DFB7D0B" w:rsidR="009D36F1" w:rsidRDefault="00000000" w:rsidP="009D36F1">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11" w:history="1">
        <w:r w:rsidR="009D36F1" w:rsidRPr="000F2547">
          <w:rPr>
            <w:rStyle w:val="Hyperlink"/>
            <w:rFonts w:eastAsia="Times New Roman"/>
          </w:rPr>
          <w:t>https://splc.org/2020/08/responding-to-takedown-demands/</w:t>
        </w:r>
      </w:hyperlink>
    </w:p>
    <w:p w14:paraId="4EBFDD10" w14:textId="467C600D" w:rsidR="009D36F1" w:rsidRDefault="00000000" w:rsidP="009D36F1">
      <w:pPr>
        <w:pStyle w:val="ListParagraph"/>
        <w:numPr>
          <w:ilvl w:val="0"/>
          <w:numId w:val="15"/>
        </w:numPr>
        <w:shd w:val="clear" w:color="auto" w:fill="FFFFFF"/>
        <w:spacing w:before="100" w:beforeAutospacing="1" w:after="100" w:afterAutospacing="1" w:line="240" w:lineRule="auto"/>
        <w:ind w:left="709"/>
        <w:rPr>
          <w:rFonts w:eastAsia="Times New Roman"/>
          <w:color w:val="000000"/>
        </w:rPr>
      </w:pPr>
      <w:hyperlink r:id="rId12" w:history="1">
        <w:r w:rsidR="009D36F1" w:rsidRPr="000F2547">
          <w:rPr>
            <w:rStyle w:val="Hyperlink"/>
            <w:rFonts w:eastAsia="Times New Roman"/>
          </w:rPr>
          <w:t>https://microform.digital/boa/general-takedown-policy</w:t>
        </w:r>
      </w:hyperlink>
    </w:p>
    <w:p w14:paraId="7FA22685" w14:textId="2B06E4AE" w:rsidR="00190085" w:rsidRPr="00730B35" w:rsidRDefault="00000000" w:rsidP="008F1F28">
      <w:pPr>
        <w:pStyle w:val="ListParagraph"/>
        <w:numPr>
          <w:ilvl w:val="0"/>
          <w:numId w:val="15"/>
        </w:numPr>
        <w:shd w:val="clear" w:color="auto" w:fill="FFFFFF"/>
        <w:spacing w:before="100" w:beforeAutospacing="1" w:after="100" w:afterAutospacing="1" w:line="240" w:lineRule="auto"/>
        <w:ind w:left="709"/>
        <w:rPr>
          <w:rFonts w:eastAsia="Times New Roman"/>
          <w:b/>
          <w:bCs/>
          <w:color w:val="000000"/>
        </w:rPr>
      </w:pPr>
      <w:hyperlink r:id="rId13" w:history="1">
        <w:r w:rsidR="009D36F1" w:rsidRPr="00730B35">
          <w:rPr>
            <w:rStyle w:val="Hyperlink"/>
            <w:rFonts w:eastAsia="Times New Roman"/>
          </w:rPr>
          <w:t>https://www.law.cornell.edu/uscode/text/17/512</w:t>
        </w:r>
      </w:hyperlink>
    </w:p>
    <w:p w14:paraId="0C45E738" w14:textId="1D8D8785" w:rsidR="00730B35" w:rsidRPr="00730B35" w:rsidRDefault="00730B35" w:rsidP="00DC4617">
      <w:pPr>
        <w:autoSpaceDE w:val="0"/>
        <w:autoSpaceDN w:val="0"/>
        <w:adjustRightInd w:val="0"/>
        <w:spacing w:after="0" w:line="240" w:lineRule="auto"/>
        <w:rPr>
          <w:rFonts w:eastAsiaTheme="minorHAnsi"/>
          <w:b/>
          <w:bCs/>
          <w:lang w:eastAsia="en-US"/>
        </w:rPr>
      </w:pPr>
      <w:r w:rsidRPr="00730B35">
        <w:rPr>
          <w:rFonts w:eastAsiaTheme="minorHAnsi"/>
          <w:b/>
          <w:bCs/>
          <w:lang w:eastAsia="en-US"/>
        </w:rPr>
        <w:t>Bibliography</w:t>
      </w:r>
    </w:p>
    <w:p w14:paraId="15C45895" w14:textId="5DE070CA" w:rsidR="00730B35" w:rsidRDefault="00DC4617" w:rsidP="00730B35">
      <w:pPr>
        <w:autoSpaceDE w:val="0"/>
        <w:autoSpaceDN w:val="0"/>
        <w:adjustRightInd w:val="0"/>
        <w:spacing w:after="0" w:line="240" w:lineRule="auto"/>
        <w:ind w:left="567" w:hanging="567"/>
        <w:rPr>
          <w:rFonts w:eastAsiaTheme="minorHAnsi"/>
          <w:lang w:eastAsia="en-US"/>
        </w:rPr>
      </w:pPr>
      <w:r w:rsidRPr="00730B35">
        <w:rPr>
          <w:rFonts w:eastAsiaTheme="minorHAnsi"/>
          <w:lang w:eastAsia="en-US"/>
        </w:rPr>
        <w:t>Cobia</w:t>
      </w:r>
      <w:r w:rsidR="00730B35">
        <w:rPr>
          <w:rFonts w:eastAsiaTheme="minorHAnsi"/>
          <w:lang w:eastAsia="en-US"/>
        </w:rPr>
        <w:t>, J. (2008)</w:t>
      </w:r>
      <w:r w:rsidRPr="00730B35">
        <w:rPr>
          <w:rFonts w:eastAsiaTheme="minorHAnsi"/>
          <w:lang w:eastAsia="en-US"/>
        </w:rPr>
        <w:t xml:space="preserve"> The Digital Millennium Copyright Act Takedown Notice Procedure:</w:t>
      </w:r>
      <w:r w:rsidR="00730B35">
        <w:rPr>
          <w:rFonts w:eastAsiaTheme="minorHAnsi"/>
          <w:lang w:eastAsia="en-US"/>
        </w:rPr>
        <w:t xml:space="preserve"> </w:t>
      </w:r>
      <w:r w:rsidRPr="00730B35">
        <w:rPr>
          <w:rFonts w:eastAsiaTheme="minorHAnsi"/>
          <w:lang w:eastAsia="en-US"/>
        </w:rPr>
        <w:t xml:space="preserve">Misuses, Abuses, and Shortcomings of the Process, 10 MINN. </w:t>
      </w:r>
      <w:r w:rsidR="00730B35">
        <w:rPr>
          <w:rFonts w:eastAsiaTheme="minorHAnsi"/>
          <w:lang w:eastAsia="en-US"/>
        </w:rPr>
        <w:t xml:space="preserve">p. </w:t>
      </w:r>
      <w:r w:rsidR="00730B35" w:rsidRPr="00730B35">
        <w:rPr>
          <w:rFonts w:eastAsiaTheme="minorHAnsi"/>
          <w:lang w:eastAsia="en-US"/>
        </w:rPr>
        <w:t>387</w:t>
      </w:r>
      <w:r w:rsidR="00730B35">
        <w:rPr>
          <w:rFonts w:eastAsiaTheme="minorHAnsi"/>
          <w:lang w:eastAsia="en-US"/>
        </w:rPr>
        <w:t xml:space="preserve"> [</w:t>
      </w:r>
      <w:r w:rsidRPr="00730B35">
        <w:rPr>
          <w:rFonts w:eastAsiaTheme="minorHAnsi"/>
          <w:lang w:eastAsia="en-US"/>
        </w:rPr>
        <w:t>J.L. Sci. &amp; TECH</w:t>
      </w:r>
      <w:r w:rsidR="00730B35">
        <w:rPr>
          <w:rFonts w:eastAsiaTheme="minorHAnsi"/>
          <w:lang w:eastAsia="en-US"/>
        </w:rPr>
        <w:t>]</w:t>
      </w:r>
    </w:p>
    <w:p w14:paraId="3DAE5A30" w14:textId="11B2DC91" w:rsidR="00BC05C1" w:rsidRPr="00730B35" w:rsidRDefault="00297E2D" w:rsidP="00730B35">
      <w:pPr>
        <w:autoSpaceDE w:val="0"/>
        <w:autoSpaceDN w:val="0"/>
        <w:adjustRightInd w:val="0"/>
        <w:spacing w:after="0" w:line="240" w:lineRule="auto"/>
        <w:ind w:left="567" w:hanging="567"/>
        <w:rPr>
          <w:rFonts w:eastAsiaTheme="minorHAnsi"/>
          <w:lang w:eastAsia="en-US"/>
        </w:rPr>
      </w:pPr>
      <w:r w:rsidRPr="00730B35">
        <w:rPr>
          <w:color w:val="000000"/>
          <w:shd w:val="clear" w:color="auto" w:fill="FFFFFF"/>
        </w:rPr>
        <w:t>Dressler, V</w:t>
      </w:r>
      <w:r w:rsidR="00730B35">
        <w:rPr>
          <w:color w:val="000000"/>
          <w:shd w:val="clear" w:color="auto" w:fill="FFFFFF"/>
        </w:rPr>
        <w:t>.</w:t>
      </w:r>
      <w:r w:rsidRPr="00730B35">
        <w:rPr>
          <w:color w:val="000000"/>
          <w:shd w:val="clear" w:color="auto" w:fill="FFFFFF"/>
        </w:rPr>
        <w:t xml:space="preserve"> &amp; </w:t>
      </w:r>
      <w:r w:rsidR="00730B35">
        <w:rPr>
          <w:color w:val="000000"/>
          <w:shd w:val="clear" w:color="auto" w:fill="FFFFFF"/>
        </w:rPr>
        <w:t xml:space="preserve">Kristof, C. (2008) </w:t>
      </w:r>
      <w:r w:rsidRPr="00730B35">
        <w:rPr>
          <w:color w:val="000000"/>
          <w:shd w:val="clear" w:color="auto" w:fill="FFFFFF"/>
        </w:rPr>
        <w:t>"The Right to Be Forgotten and Implications on Digital Collections: A Survey of ARL Member Institutions on Practice and Policy"</w:t>
      </w:r>
      <w:r w:rsidR="00730B35">
        <w:rPr>
          <w:color w:val="000000"/>
          <w:shd w:val="clear" w:color="auto" w:fill="FFFFFF"/>
        </w:rPr>
        <w:t xml:space="preserve"> in</w:t>
      </w:r>
      <w:r w:rsidRPr="00730B35">
        <w:rPr>
          <w:color w:val="000000"/>
          <w:shd w:val="clear" w:color="auto" w:fill="FFFFFF"/>
        </w:rPr>
        <w:t> </w:t>
      </w:r>
      <w:r w:rsidRPr="00730B35">
        <w:rPr>
          <w:rStyle w:val="Emphasis"/>
          <w:color w:val="000000"/>
          <w:bdr w:val="none" w:sz="0" w:space="0" w:color="auto" w:frame="1"/>
          <w:shd w:val="clear" w:color="auto" w:fill="FFFFFF"/>
        </w:rPr>
        <w:t>College &amp; Research Libraries</w:t>
      </w:r>
      <w:r w:rsidRPr="00730B35">
        <w:rPr>
          <w:color w:val="000000"/>
          <w:shd w:val="clear" w:color="auto" w:fill="FFFFFF"/>
        </w:rPr>
        <w:t xml:space="preserve"> [Online], 79.7 972. </w:t>
      </w:r>
      <w:r w:rsidR="00730B35">
        <w:rPr>
          <w:color w:val="000000"/>
          <w:shd w:val="clear" w:color="auto" w:fill="FFFFFF"/>
        </w:rPr>
        <w:t xml:space="preserve">[Accessed on: </w:t>
      </w:r>
      <w:r w:rsidRPr="00730B35">
        <w:rPr>
          <w:color w:val="000000"/>
          <w:shd w:val="clear" w:color="auto" w:fill="FFFFFF"/>
        </w:rPr>
        <w:t>Web. 27 Jan. 2023</w:t>
      </w:r>
      <w:r w:rsidR="00730B35">
        <w:rPr>
          <w:color w:val="000000"/>
          <w:shd w:val="clear" w:color="auto" w:fill="FFFFFF"/>
        </w:rPr>
        <w:t>]</w:t>
      </w:r>
    </w:p>
    <w:p w14:paraId="60E2B64E" w14:textId="3923CCA6" w:rsidR="002B343D" w:rsidRDefault="002B343D" w:rsidP="002B343D">
      <w:pPr>
        <w:pBdr>
          <w:top w:val="nil"/>
          <w:left w:val="nil"/>
          <w:bottom w:val="nil"/>
          <w:right w:val="nil"/>
          <w:between w:val="nil"/>
        </w:pBdr>
        <w:spacing w:after="0" w:line="240" w:lineRule="auto"/>
        <w:rPr>
          <w:b/>
          <w:bCs/>
          <w:color w:val="000000"/>
        </w:rPr>
      </w:pPr>
    </w:p>
    <w:p w14:paraId="7478BA61" w14:textId="77777777" w:rsidR="002B343D" w:rsidRDefault="002B343D" w:rsidP="002B343D">
      <w:pPr>
        <w:pBdr>
          <w:top w:val="nil"/>
          <w:left w:val="nil"/>
          <w:bottom w:val="nil"/>
          <w:right w:val="nil"/>
          <w:between w:val="nil"/>
        </w:pBdr>
        <w:spacing w:after="0" w:line="240" w:lineRule="auto"/>
        <w:rPr>
          <w:b/>
          <w:bCs/>
          <w:color w:val="000000"/>
        </w:rPr>
      </w:pPr>
    </w:p>
    <w:p w14:paraId="56931898" w14:textId="77777777" w:rsidR="002B343D" w:rsidRDefault="002B343D" w:rsidP="002B343D">
      <w:pPr>
        <w:pBdr>
          <w:top w:val="nil"/>
          <w:left w:val="nil"/>
          <w:bottom w:val="nil"/>
          <w:right w:val="nil"/>
          <w:between w:val="nil"/>
        </w:pBdr>
        <w:spacing w:after="0" w:line="240" w:lineRule="auto"/>
        <w:rPr>
          <w:b/>
          <w:bCs/>
          <w:color w:val="000000"/>
        </w:rPr>
      </w:pPr>
    </w:p>
    <w:p w14:paraId="642354B6" w14:textId="77777777" w:rsidR="002B343D" w:rsidRDefault="002B343D" w:rsidP="002B343D">
      <w:pPr>
        <w:pBdr>
          <w:top w:val="nil"/>
          <w:left w:val="nil"/>
          <w:bottom w:val="nil"/>
          <w:right w:val="nil"/>
          <w:between w:val="nil"/>
        </w:pBdr>
        <w:spacing w:after="0" w:line="240" w:lineRule="auto"/>
        <w:rPr>
          <w:b/>
          <w:bCs/>
          <w:color w:val="000000"/>
        </w:rPr>
      </w:pPr>
    </w:p>
    <w:p w14:paraId="3A75AD9F" w14:textId="77777777" w:rsidR="002B343D" w:rsidRDefault="002B343D" w:rsidP="002B343D">
      <w:pPr>
        <w:pBdr>
          <w:top w:val="nil"/>
          <w:left w:val="nil"/>
          <w:bottom w:val="nil"/>
          <w:right w:val="nil"/>
          <w:between w:val="nil"/>
        </w:pBdr>
        <w:spacing w:after="0" w:line="240" w:lineRule="auto"/>
        <w:rPr>
          <w:b/>
          <w:bCs/>
          <w:color w:val="000000"/>
        </w:rPr>
      </w:pPr>
    </w:p>
    <w:p w14:paraId="4F928EFE" w14:textId="77777777" w:rsidR="002B343D" w:rsidRDefault="002B343D" w:rsidP="002B343D">
      <w:pPr>
        <w:pBdr>
          <w:top w:val="nil"/>
          <w:left w:val="nil"/>
          <w:bottom w:val="nil"/>
          <w:right w:val="nil"/>
          <w:between w:val="nil"/>
        </w:pBdr>
        <w:spacing w:after="0" w:line="240" w:lineRule="auto"/>
        <w:rPr>
          <w:b/>
          <w:bCs/>
          <w:color w:val="000000"/>
        </w:rPr>
      </w:pPr>
    </w:p>
    <w:p w14:paraId="44848522" w14:textId="77777777" w:rsidR="002B343D" w:rsidRDefault="002B343D" w:rsidP="002B343D">
      <w:pPr>
        <w:pBdr>
          <w:top w:val="nil"/>
          <w:left w:val="nil"/>
          <w:bottom w:val="nil"/>
          <w:right w:val="nil"/>
          <w:between w:val="nil"/>
        </w:pBdr>
        <w:spacing w:after="0" w:line="240" w:lineRule="auto"/>
        <w:rPr>
          <w:b/>
          <w:bCs/>
          <w:color w:val="000000"/>
        </w:rPr>
      </w:pPr>
    </w:p>
    <w:p w14:paraId="2AF4418B" w14:textId="77777777" w:rsidR="002B343D" w:rsidRDefault="002B343D" w:rsidP="002B343D">
      <w:pPr>
        <w:pBdr>
          <w:top w:val="nil"/>
          <w:left w:val="nil"/>
          <w:bottom w:val="nil"/>
          <w:right w:val="nil"/>
          <w:between w:val="nil"/>
        </w:pBdr>
        <w:spacing w:after="0" w:line="240" w:lineRule="auto"/>
        <w:rPr>
          <w:b/>
          <w:bCs/>
          <w:color w:val="000000"/>
        </w:rPr>
      </w:pPr>
    </w:p>
    <w:p w14:paraId="6D0C304C" w14:textId="77777777" w:rsidR="002B343D" w:rsidRPr="00F4492E" w:rsidRDefault="002B343D" w:rsidP="00393E81">
      <w:pPr>
        <w:shd w:val="clear" w:color="auto" w:fill="FFFFFF"/>
        <w:spacing w:before="100" w:beforeAutospacing="1" w:after="100" w:afterAutospacing="1" w:line="240" w:lineRule="auto"/>
        <w:rPr>
          <w:rFonts w:eastAsia="Times New Roman"/>
          <w:b/>
          <w:bCs/>
          <w:color w:val="000000"/>
        </w:rPr>
      </w:pPr>
    </w:p>
    <w:sectPr w:rsidR="002B343D" w:rsidRPr="00F4492E" w:rsidSect="001E55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A7F"/>
    <w:multiLevelType w:val="multilevel"/>
    <w:tmpl w:val="41E69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A634C"/>
    <w:multiLevelType w:val="hybridMultilevel"/>
    <w:tmpl w:val="5868FBFE"/>
    <w:lvl w:ilvl="0" w:tplc="F0AA6CD2">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7A5433"/>
    <w:multiLevelType w:val="multilevel"/>
    <w:tmpl w:val="FF5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36231"/>
    <w:multiLevelType w:val="hybridMultilevel"/>
    <w:tmpl w:val="4D124248"/>
    <w:lvl w:ilvl="0" w:tplc="F0AA6CD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E7E5C"/>
    <w:multiLevelType w:val="multilevel"/>
    <w:tmpl w:val="9D9A8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335DD"/>
    <w:multiLevelType w:val="hybridMultilevel"/>
    <w:tmpl w:val="557ABC0A"/>
    <w:lvl w:ilvl="0" w:tplc="F0AA6CD2">
      <w:start w:val="6"/>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5536806"/>
    <w:multiLevelType w:val="multilevel"/>
    <w:tmpl w:val="049A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D6355"/>
    <w:multiLevelType w:val="multilevel"/>
    <w:tmpl w:val="F1EEC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20A7EC1"/>
    <w:multiLevelType w:val="hybridMultilevel"/>
    <w:tmpl w:val="A90CAFF2"/>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7C41EF"/>
    <w:multiLevelType w:val="multilevel"/>
    <w:tmpl w:val="6308C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FA281E"/>
    <w:multiLevelType w:val="hybridMultilevel"/>
    <w:tmpl w:val="5C48B07E"/>
    <w:lvl w:ilvl="0" w:tplc="F0AA6CD2">
      <w:start w:val="6"/>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13A10"/>
    <w:multiLevelType w:val="multilevel"/>
    <w:tmpl w:val="496664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191708">
    <w:abstractNumId w:val="4"/>
  </w:num>
  <w:num w:numId="2" w16cid:durableId="2142769433">
    <w:abstractNumId w:val="9"/>
  </w:num>
  <w:num w:numId="3" w16cid:durableId="1780758257">
    <w:abstractNumId w:val="6"/>
  </w:num>
  <w:num w:numId="4" w16cid:durableId="1872722759">
    <w:abstractNumId w:val="2"/>
  </w:num>
  <w:num w:numId="5" w16cid:durableId="1038317063">
    <w:abstractNumId w:val="11"/>
  </w:num>
  <w:num w:numId="6" w16cid:durableId="1069841384">
    <w:abstractNumId w:val="7"/>
  </w:num>
  <w:num w:numId="7" w16cid:durableId="435105314">
    <w:abstractNumId w:val="0"/>
  </w:num>
  <w:num w:numId="8" w16cid:durableId="1406757501">
    <w:abstractNumId w:val="0"/>
  </w:num>
  <w:num w:numId="9" w16cid:durableId="1406757501">
    <w:abstractNumId w:val="0"/>
  </w:num>
  <w:num w:numId="10" w16cid:durableId="1406757501">
    <w:abstractNumId w:val="0"/>
  </w:num>
  <w:num w:numId="11" w16cid:durableId="230701856">
    <w:abstractNumId w:val="3"/>
  </w:num>
  <w:num w:numId="12" w16cid:durableId="112333256">
    <w:abstractNumId w:val="8"/>
  </w:num>
  <w:num w:numId="13" w16cid:durableId="1526754097">
    <w:abstractNumId w:val="1"/>
  </w:num>
  <w:num w:numId="14" w16cid:durableId="431970964">
    <w:abstractNumId w:val="5"/>
  </w:num>
  <w:num w:numId="15" w16cid:durableId="200778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FA"/>
    <w:rsid w:val="0002437A"/>
    <w:rsid w:val="00060E28"/>
    <w:rsid w:val="000C2F56"/>
    <w:rsid w:val="000C3B21"/>
    <w:rsid w:val="0011442F"/>
    <w:rsid w:val="00140D51"/>
    <w:rsid w:val="00186428"/>
    <w:rsid w:val="00187E1D"/>
    <w:rsid w:val="00190085"/>
    <w:rsid w:val="001A4257"/>
    <w:rsid w:val="001A6501"/>
    <w:rsid w:val="001C0B42"/>
    <w:rsid w:val="001E5522"/>
    <w:rsid w:val="001E7E56"/>
    <w:rsid w:val="00297E2D"/>
    <w:rsid w:val="002B343D"/>
    <w:rsid w:val="00351C58"/>
    <w:rsid w:val="00360DD2"/>
    <w:rsid w:val="003742E4"/>
    <w:rsid w:val="00390321"/>
    <w:rsid w:val="00393E81"/>
    <w:rsid w:val="003C17B8"/>
    <w:rsid w:val="003C19B7"/>
    <w:rsid w:val="003C5C7C"/>
    <w:rsid w:val="003D71B9"/>
    <w:rsid w:val="003E6862"/>
    <w:rsid w:val="0045205D"/>
    <w:rsid w:val="00462041"/>
    <w:rsid w:val="004B24BE"/>
    <w:rsid w:val="00513203"/>
    <w:rsid w:val="0056162F"/>
    <w:rsid w:val="005A5935"/>
    <w:rsid w:val="005C7443"/>
    <w:rsid w:val="005E6C9E"/>
    <w:rsid w:val="00612B71"/>
    <w:rsid w:val="00655725"/>
    <w:rsid w:val="0066450E"/>
    <w:rsid w:val="00670690"/>
    <w:rsid w:val="006A1287"/>
    <w:rsid w:val="006D0282"/>
    <w:rsid w:val="007016DD"/>
    <w:rsid w:val="00724B05"/>
    <w:rsid w:val="00730B35"/>
    <w:rsid w:val="00750F1F"/>
    <w:rsid w:val="00757207"/>
    <w:rsid w:val="00763DE2"/>
    <w:rsid w:val="0077712B"/>
    <w:rsid w:val="007A290D"/>
    <w:rsid w:val="007A760E"/>
    <w:rsid w:val="007C6011"/>
    <w:rsid w:val="007D6F14"/>
    <w:rsid w:val="00843EB2"/>
    <w:rsid w:val="00866D06"/>
    <w:rsid w:val="008A7C1E"/>
    <w:rsid w:val="008C2DFA"/>
    <w:rsid w:val="008D484B"/>
    <w:rsid w:val="00950F54"/>
    <w:rsid w:val="0097478C"/>
    <w:rsid w:val="0097705C"/>
    <w:rsid w:val="009A348E"/>
    <w:rsid w:val="009B08A9"/>
    <w:rsid w:val="009D36F1"/>
    <w:rsid w:val="00A76243"/>
    <w:rsid w:val="00A85BD2"/>
    <w:rsid w:val="00AB631D"/>
    <w:rsid w:val="00AE713F"/>
    <w:rsid w:val="00B16AF2"/>
    <w:rsid w:val="00B3573F"/>
    <w:rsid w:val="00B64B58"/>
    <w:rsid w:val="00BC05C1"/>
    <w:rsid w:val="00C349BD"/>
    <w:rsid w:val="00C53AE1"/>
    <w:rsid w:val="00C85AD1"/>
    <w:rsid w:val="00C954A6"/>
    <w:rsid w:val="00CD650F"/>
    <w:rsid w:val="00D14A3D"/>
    <w:rsid w:val="00D24225"/>
    <w:rsid w:val="00D527D7"/>
    <w:rsid w:val="00D53F0A"/>
    <w:rsid w:val="00D610E8"/>
    <w:rsid w:val="00D63AFC"/>
    <w:rsid w:val="00D7361C"/>
    <w:rsid w:val="00D76D50"/>
    <w:rsid w:val="00D930A7"/>
    <w:rsid w:val="00D933B0"/>
    <w:rsid w:val="00DA6682"/>
    <w:rsid w:val="00DB643E"/>
    <w:rsid w:val="00DC4617"/>
    <w:rsid w:val="00DD4873"/>
    <w:rsid w:val="00E17386"/>
    <w:rsid w:val="00E50FC0"/>
    <w:rsid w:val="00E6505E"/>
    <w:rsid w:val="00E7222B"/>
    <w:rsid w:val="00E94C68"/>
    <w:rsid w:val="00EA4D28"/>
    <w:rsid w:val="00ED1761"/>
    <w:rsid w:val="00F012C9"/>
    <w:rsid w:val="00F20395"/>
    <w:rsid w:val="00F26A5B"/>
    <w:rsid w:val="00F4492E"/>
    <w:rsid w:val="00F66FAD"/>
    <w:rsid w:val="00F76620"/>
    <w:rsid w:val="00FB6FC0"/>
    <w:rsid w:val="00FD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3EEE"/>
  <w15:chartTrackingRefBased/>
  <w15:docId w15:val="{CD35B58B-30AA-2146-ABDF-9D62E56F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E8"/>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DFA"/>
    <w:pPr>
      <w:ind w:left="720"/>
      <w:contextualSpacing/>
    </w:pPr>
  </w:style>
  <w:style w:type="character" w:styleId="Hyperlink">
    <w:name w:val="Hyperlink"/>
    <w:basedOn w:val="DefaultParagraphFont"/>
    <w:uiPriority w:val="99"/>
    <w:unhideWhenUsed/>
    <w:rsid w:val="006D0282"/>
    <w:rPr>
      <w:color w:val="0563C1" w:themeColor="hyperlink"/>
      <w:u w:val="single"/>
    </w:rPr>
  </w:style>
  <w:style w:type="character" w:styleId="UnresolvedMention">
    <w:name w:val="Unresolved Mention"/>
    <w:basedOn w:val="DefaultParagraphFont"/>
    <w:uiPriority w:val="99"/>
    <w:semiHidden/>
    <w:unhideWhenUsed/>
    <w:rsid w:val="006D0282"/>
    <w:rPr>
      <w:color w:val="605E5C"/>
      <w:shd w:val="clear" w:color="auto" w:fill="E1DFDD"/>
    </w:rPr>
  </w:style>
  <w:style w:type="paragraph" w:styleId="NormalWeb">
    <w:name w:val="Normal (Web)"/>
    <w:basedOn w:val="Normal"/>
    <w:uiPriority w:val="99"/>
    <w:semiHidden/>
    <w:unhideWhenUsed/>
    <w:rsid w:val="006D0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30A7"/>
    <w:pPr>
      <w:autoSpaceDE w:val="0"/>
      <w:autoSpaceDN w:val="0"/>
      <w:adjustRightInd w:val="0"/>
    </w:pPr>
    <w:rPr>
      <w:rFonts w:ascii="Arial" w:hAnsi="Arial" w:cs="Arial"/>
      <w:color w:val="000000"/>
    </w:rPr>
  </w:style>
  <w:style w:type="character" w:styleId="Emphasis">
    <w:name w:val="Emphasis"/>
    <w:basedOn w:val="DefaultParagraphFont"/>
    <w:uiPriority w:val="20"/>
    <w:qFormat/>
    <w:rsid w:val="00297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34">
      <w:bodyDiv w:val="1"/>
      <w:marLeft w:val="0"/>
      <w:marRight w:val="0"/>
      <w:marTop w:val="0"/>
      <w:marBottom w:val="0"/>
      <w:divBdr>
        <w:top w:val="none" w:sz="0" w:space="0" w:color="auto"/>
        <w:left w:val="none" w:sz="0" w:space="0" w:color="auto"/>
        <w:bottom w:val="none" w:sz="0" w:space="0" w:color="auto"/>
        <w:right w:val="none" w:sz="0" w:space="0" w:color="auto"/>
      </w:divBdr>
    </w:div>
    <w:div w:id="353649812">
      <w:bodyDiv w:val="1"/>
      <w:marLeft w:val="0"/>
      <w:marRight w:val="0"/>
      <w:marTop w:val="0"/>
      <w:marBottom w:val="0"/>
      <w:divBdr>
        <w:top w:val="none" w:sz="0" w:space="0" w:color="auto"/>
        <w:left w:val="none" w:sz="0" w:space="0" w:color="auto"/>
        <w:bottom w:val="none" w:sz="0" w:space="0" w:color="auto"/>
        <w:right w:val="none" w:sz="0" w:space="0" w:color="auto"/>
      </w:divBdr>
    </w:div>
    <w:div w:id="576984022">
      <w:bodyDiv w:val="1"/>
      <w:marLeft w:val="0"/>
      <w:marRight w:val="0"/>
      <w:marTop w:val="0"/>
      <w:marBottom w:val="0"/>
      <w:divBdr>
        <w:top w:val="none" w:sz="0" w:space="0" w:color="auto"/>
        <w:left w:val="none" w:sz="0" w:space="0" w:color="auto"/>
        <w:bottom w:val="none" w:sz="0" w:space="0" w:color="auto"/>
        <w:right w:val="none" w:sz="0" w:space="0" w:color="auto"/>
      </w:divBdr>
    </w:div>
    <w:div w:id="695040210">
      <w:bodyDiv w:val="1"/>
      <w:marLeft w:val="0"/>
      <w:marRight w:val="0"/>
      <w:marTop w:val="0"/>
      <w:marBottom w:val="0"/>
      <w:divBdr>
        <w:top w:val="none" w:sz="0" w:space="0" w:color="auto"/>
        <w:left w:val="none" w:sz="0" w:space="0" w:color="auto"/>
        <w:bottom w:val="none" w:sz="0" w:space="0" w:color="auto"/>
        <w:right w:val="none" w:sz="0" w:space="0" w:color="auto"/>
      </w:divBdr>
    </w:div>
    <w:div w:id="1018315054">
      <w:bodyDiv w:val="1"/>
      <w:marLeft w:val="0"/>
      <w:marRight w:val="0"/>
      <w:marTop w:val="0"/>
      <w:marBottom w:val="0"/>
      <w:divBdr>
        <w:top w:val="none" w:sz="0" w:space="0" w:color="auto"/>
        <w:left w:val="none" w:sz="0" w:space="0" w:color="auto"/>
        <w:bottom w:val="none" w:sz="0" w:space="0" w:color="auto"/>
        <w:right w:val="none" w:sz="0" w:space="0" w:color="auto"/>
      </w:divBdr>
    </w:div>
    <w:div w:id="12633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library/ucl-digital-collections/takedown-policy" TargetMode="External"/><Relationship Id="rId13" Type="http://schemas.openxmlformats.org/officeDocument/2006/relationships/hyperlink" Target="https://www.law.cornell.edu/uscode/text/17/512" TargetMode="External"/><Relationship Id="rId3" Type="http://schemas.openxmlformats.org/officeDocument/2006/relationships/settings" Target="settings.xml"/><Relationship Id="rId7" Type="http://schemas.openxmlformats.org/officeDocument/2006/relationships/hyperlink" Target="https://www.bl.uk/about-us/terms-and-conditions/websites-and-online-services" TargetMode="External"/><Relationship Id="rId12" Type="http://schemas.openxmlformats.org/officeDocument/2006/relationships/hyperlink" Target="https://microform.digital/boa/general-takedow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archives.gov.uk/legal/takedown-and-reclosure-policy/" TargetMode="External"/><Relationship Id="rId11" Type="http://schemas.openxmlformats.org/officeDocument/2006/relationships/hyperlink" Target="https://splc.org/2020/08/responding-to-takedown-demands/" TargetMode="External"/><Relationship Id="rId5" Type="http://schemas.openxmlformats.org/officeDocument/2006/relationships/hyperlink" Target="mailto:archive@ncbs.res.in" TargetMode="External"/><Relationship Id="rId15" Type="http://schemas.openxmlformats.org/officeDocument/2006/relationships/theme" Target="theme/theme1.xml"/><Relationship Id="rId10" Type="http://schemas.openxmlformats.org/officeDocument/2006/relationships/hyperlink" Target="https://library.stanford.edu/using/special-policies/takedown-protocol-sensitive-information-stanford-digital-collections" TargetMode="External"/><Relationship Id="rId4" Type="http://schemas.openxmlformats.org/officeDocument/2006/relationships/webSettings" Target="webSettings.xml"/><Relationship Id="rId9" Type="http://schemas.openxmlformats.org/officeDocument/2006/relationships/hyperlink" Target="https://meap.library.ucla.edu/about/take-down-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hannah.james.louwerse</cp:lastModifiedBy>
  <cp:revision>14</cp:revision>
  <dcterms:created xsi:type="dcterms:W3CDTF">2023-01-24T06:24:00Z</dcterms:created>
  <dcterms:modified xsi:type="dcterms:W3CDTF">2023-01-30T04:50:00Z</dcterms:modified>
</cp:coreProperties>
</file>